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06D06" w14:textId="0328E790" w:rsidR="006E4A19" w:rsidRPr="009255D7" w:rsidRDefault="00C71118" w:rsidP="006E4A19">
      <w:pPr>
        <w:pStyle w:val="Header"/>
        <w:tabs>
          <w:tab w:val="clear" w:pos="4320"/>
          <w:tab w:val="clear" w:pos="8640"/>
          <w:tab w:val="left" w:pos="1995"/>
        </w:tabs>
        <w:jc w:val="center"/>
        <w:rPr>
          <w:rFonts w:ascii="Calibri" w:hAnsi="Calibri"/>
          <w:b/>
          <w:color w:val="000000" w:themeColor="text1"/>
          <w:sz w:val="28"/>
          <w:szCs w:val="28"/>
        </w:rPr>
      </w:pPr>
      <w:r>
        <w:rPr>
          <w:rFonts w:ascii="Calibri" w:hAnsi="Calibri"/>
          <w:b/>
          <w:color w:val="000000" w:themeColor="text1"/>
          <w:sz w:val="28"/>
          <w:szCs w:val="28"/>
        </w:rPr>
        <w:t xml:space="preserve">PPPM </w:t>
      </w:r>
      <w:r w:rsidR="00FE4D1B" w:rsidRPr="009255D7">
        <w:rPr>
          <w:rFonts w:ascii="Calibri" w:hAnsi="Calibri"/>
          <w:b/>
          <w:color w:val="000000" w:themeColor="text1"/>
          <w:sz w:val="28"/>
          <w:szCs w:val="28"/>
        </w:rPr>
        <w:t xml:space="preserve">Peer </w:t>
      </w:r>
      <w:r w:rsidR="00C92482" w:rsidRPr="009255D7">
        <w:rPr>
          <w:rFonts w:ascii="Calibri" w:hAnsi="Calibri"/>
          <w:b/>
          <w:color w:val="000000" w:themeColor="text1"/>
          <w:sz w:val="28"/>
          <w:szCs w:val="28"/>
        </w:rPr>
        <w:t xml:space="preserve">Teaching </w:t>
      </w:r>
      <w:r w:rsidR="00FE4D1B" w:rsidRPr="009255D7">
        <w:rPr>
          <w:rFonts w:ascii="Calibri" w:hAnsi="Calibri"/>
          <w:b/>
          <w:color w:val="000000" w:themeColor="text1"/>
          <w:sz w:val="28"/>
          <w:szCs w:val="28"/>
        </w:rPr>
        <w:t xml:space="preserve">Observation </w:t>
      </w:r>
      <w:r w:rsidR="00C92482" w:rsidRPr="009255D7">
        <w:rPr>
          <w:rFonts w:ascii="Calibri" w:hAnsi="Calibri"/>
          <w:b/>
          <w:color w:val="000000" w:themeColor="text1"/>
          <w:sz w:val="28"/>
          <w:szCs w:val="28"/>
        </w:rPr>
        <w:t>Guide</w:t>
      </w:r>
      <w:r>
        <w:rPr>
          <w:rFonts w:ascii="Calibri" w:hAnsi="Calibri"/>
          <w:b/>
          <w:color w:val="000000" w:themeColor="text1"/>
          <w:sz w:val="28"/>
          <w:szCs w:val="28"/>
        </w:rPr>
        <w:t xml:space="preserve"> </w:t>
      </w:r>
      <w:r w:rsidR="009F44DF">
        <w:rPr>
          <w:rFonts w:ascii="Calibri" w:hAnsi="Calibri"/>
          <w:b/>
          <w:color w:val="000000" w:themeColor="text1"/>
          <w:sz w:val="28"/>
          <w:szCs w:val="28"/>
        </w:rPr>
        <w:t>–</w:t>
      </w:r>
      <w:r>
        <w:rPr>
          <w:rFonts w:ascii="Calibri" w:hAnsi="Calibri"/>
          <w:b/>
          <w:color w:val="000000" w:themeColor="text1"/>
          <w:sz w:val="28"/>
          <w:szCs w:val="28"/>
        </w:rPr>
        <w:t xml:space="preserve"> </w:t>
      </w:r>
      <w:r w:rsidR="009F44DF">
        <w:rPr>
          <w:rFonts w:ascii="Calibri" w:hAnsi="Calibri"/>
          <w:b/>
          <w:color w:val="000000" w:themeColor="text1"/>
          <w:sz w:val="28"/>
          <w:szCs w:val="28"/>
        </w:rPr>
        <w:t>TLC Recommendation</w:t>
      </w:r>
      <w:bookmarkStart w:id="0" w:name="_GoBack"/>
      <w:bookmarkEnd w:id="0"/>
    </w:p>
    <w:p w14:paraId="2C833F2C" w14:textId="303709A8" w:rsidR="00FE4D1B" w:rsidRDefault="00FE4D1B" w:rsidP="00DE0D72">
      <w:pPr>
        <w:tabs>
          <w:tab w:val="left" w:pos="750"/>
        </w:tabs>
        <w:rPr>
          <w:rFonts w:ascii="Calibri" w:hAnsi="Calibri" w:cs="Calibri"/>
          <w:color w:val="000000" w:themeColor="text1"/>
          <w:sz w:val="22"/>
          <w:szCs w:val="22"/>
        </w:rPr>
      </w:pPr>
    </w:p>
    <w:p w14:paraId="5A631F28" w14:textId="1F3D52B6" w:rsidR="009C6C96" w:rsidRDefault="009C6C96" w:rsidP="00DE0D72">
      <w:pPr>
        <w:tabs>
          <w:tab w:val="left" w:pos="750"/>
        </w:tabs>
        <w:rPr>
          <w:rFonts w:ascii="Calibri" w:hAnsi="Calibri" w:cs="Calibri"/>
          <w:color w:val="000000" w:themeColor="text1"/>
          <w:sz w:val="22"/>
          <w:szCs w:val="22"/>
        </w:rPr>
      </w:pPr>
      <w:r>
        <w:rPr>
          <w:rFonts w:ascii="Calibri" w:hAnsi="Calibri" w:cs="Calibri"/>
          <w:color w:val="000000" w:themeColor="text1"/>
          <w:sz w:val="22"/>
          <w:szCs w:val="22"/>
        </w:rPr>
        <w:t>Peer Teaching Observation Scheduling</w:t>
      </w:r>
    </w:p>
    <w:p w14:paraId="0E9AE085" w14:textId="77777777" w:rsidR="009C6C96" w:rsidRDefault="009C6C96" w:rsidP="00DE0D72">
      <w:pPr>
        <w:tabs>
          <w:tab w:val="left" w:pos="750"/>
        </w:tabs>
        <w:rPr>
          <w:rFonts w:ascii="Calibri" w:hAnsi="Calibri" w:cs="Calibri"/>
          <w:color w:val="000000" w:themeColor="text1"/>
          <w:sz w:val="22"/>
          <w:szCs w:val="22"/>
        </w:rPr>
      </w:pPr>
    </w:p>
    <w:p w14:paraId="7737FF48" w14:textId="27A4485E" w:rsidR="009C6C96" w:rsidRDefault="008110C1" w:rsidP="009C6C96">
      <w:pPr>
        <w:pStyle w:val="ListParagraph"/>
        <w:numPr>
          <w:ilvl w:val="0"/>
          <w:numId w:val="13"/>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 xml:space="preserve">In accordance with the office of the Provost, the scheduling for Peer teaching evaluations is as follows: </w:t>
      </w:r>
    </w:p>
    <w:p w14:paraId="349D4345" w14:textId="406C7700" w:rsidR="008110C1" w:rsidRPr="008110C1" w:rsidRDefault="004C3B41" w:rsidP="008110C1">
      <w:pPr>
        <w:pStyle w:val="ListParagraph"/>
        <w:numPr>
          <w:ilvl w:val="1"/>
          <w:numId w:val="13"/>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A</w:t>
      </w:r>
      <w:r w:rsidRPr="004C3B41">
        <w:rPr>
          <w:rFonts w:ascii="Calibri" w:hAnsi="Calibri" w:cs="Calibri"/>
          <w:color w:val="000000" w:themeColor="text1"/>
          <w:sz w:val="22"/>
          <w:szCs w:val="22"/>
        </w:rPr>
        <w:t>ll pre-tenure TTF faculty are reviewed annually prior to promotion and tenure review</w:t>
      </w:r>
      <w:r>
        <w:rPr>
          <w:rFonts w:ascii="Calibri" w:hAnsi="Calibri" w:cs="Calibri"/>
          <w:color w:val="000000" w:themeColor="text1"/>
          <w:sz w:val="22"/>
          <w:szCs w:val="22"/>
        </w:rPr>
        <w:t>.</w:t>
      </w:r>
    </w:p>
    <w:p w14:paraId="102A861C" w14:textId="77777777" w:rsidR="008110C1" w:rsidRPr="008110C1" w:rsidRDefault="008110C1" w:rsidP="008110C1">
      <w:pPr>
        <w:pStyle w:val="ListParagraph"/>
        <w:numPr>
          <w:ilvl w:val="1"/>
          <w:numId w:val="13"/>
        </w:numPr>
        <w:tabs>
          <w:tab w:val="left" w:pos="750"/>
        </w:tabs>
        <w:rPr>
          <w:rFonts w:ascii="Calibri" w:hAnsi="Calibri" w:cs="Calibri"/>
          <w:color w:val="000000" w:themeColor="text1"/>
          <w:sz w:val="22"/>
          <w:szCs w:val="22"/>
        </w:rPr>
      </w:pPr>
      <w:r w:rsidRPr="008110C1">
        <w:rPr>
          <w:rFonts w:ascii="Calibri" w:hAnsi="Calibri" w:cs="Calibri"/>
          <w:color w:val="000000" w:themeColor="text1"/>
          <w:sz w:val="22"/>
          <w:szCs w:val="22"/>
        </w:rPr>
        <w:t>Each tenured faculty member at the rank of associate professor must have at least one peer review every other year until promotion to full professor.</w:t>
      </w:r>
    </w:p>
    <w:p w14:paraId="6478FAFD" w14:textId="050D9CA8" w:rsidR="008110C1" w:rsidRDefault="008110C1" w:rsidP="008110C1">
      <w:pPr>
        <w:pStyle w:val="ListParagraph"/>
        <w:numPr>
          <w:ilvl w:val="1"/>
          <w:numId w:val="13"/>
        </w:numPr>
        <w:tabs>
          <w:tab w:val="left" w:pos="750"/>
        </w:tabs>
        <w:rPr>
          <w:rFonts w:ascii="Calibri" w:hAnsi="Calibri" w:cs="Calibri"/>
          <w:color w:val="000000" w:themeColor="text1"/>
          <w:sz w:val="22"/>
          <w:szCs w:val="22"/>
        </w:rPr>
      </w:pPr>
      <w:r w:rsidRPr="008110C1">
        <w:rPr>
          <w:rFonts w:ascii="Calibri" w:hAnsi="Calibri" w:cs="Calibri"/>
          <w:color w:val="000000" w:themeColor="text1"/>
          <w:sz w:val="22"/>
          <w:szCs w:val="22"/>
        </w:rPr>
        <w:t>Each tenured faculty member at the rank of full professor must have at least one peer review every three years.</w:t>
      </w:r>
    </w:p>
    <w:p w14:paraId="763F9E43" w14:textId="361A1195" w:rsidR="008110C1" w:rsidRDefault="008110C1" w:rsidP="008110C1">
      <w:pPr>
        <w:pStyle w:val="ListParagraph"/>
        <w:numPr>
          <w:ilvl w:val="0"/>
          <w:numId w:val="13"/>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PPPM practice has also been that you are not due for an evaluation during years when you are up for promotion or tenure or during the year following promotion or tenure.</w:t>
      </w:r>
    </w:p>
    <w:p w14:paraId="051FF581" w14:textId="12EA6E11" w:rsidR="008110C1" w:rsidRPr="009C6C96" w:rsidRDefault="008110C1" w:rsidP="008110C1">
      <w:pPr>
        <w:pStyle w:val="ListParagraph"/>
        <w:numPr>
          <w:ilvl w:val="0"/>
          <w:numId w:val="13"/>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Peer evaluations are scheduled by the faculty being evaluated.  Current practice is that the chair of the Teaching and Learning Committee (TLC) sends a reminder to individuals that are due an evaluation in the current school year at the beginning of each term.  After an evaluation is scheduled, the chair of the TLC should be notified so that the peer evaluation database, which tracks peer evaluations over time, can be updated.  Faculty should seek out variation in their peer evaluators; that is, different evaluators should be used across time.</w:t>
      </w:r>
    </w:p>
    <w:p w14:paraId="43030FAC" w14:textId="77777777" w:rsidR="009C6C96" w:rsidRDefault="009C6C96" w:rsidP="00DE0D72">
      <w:pPr>
        <w:tabs>
          <w:tab w:val="left" w:pos="750"/>
        </w:tabs>
        <w:rPr>
          <w:rFonts w:ascii="Calibri" w:hAnsi="Calibri" w:cs="Calibri"/>
          <w:color w:val="000000" w:themeColor="text1"/>
          <w:sz w:val="22"/>
          <w:szCs w:val="22"/>
        </w:rPr>
      </w:pPr>
    </w:p>
    <w:p w14:paraId="4A7A51CA" w14:textId="7D024021" w:rsidR="00C71118" w:rsidRDefault="00C71118" w:rsidP="00DE0D72">
      <w:pPr>
        <w:tabs>
          <w:tab w:val="left" w:pos="750"/>
        </w:tabs>
        <w:rPr>
          <w:rFonts w:ascii="Calibri" w:hAnsi="Calibri" w:cs="Calibri"/>
          <w:color w:val="000000" w:themeColor="text1"/>
          <w:sz w:val="22"/>
          <w:szCs w:val="22"/>
        </w:rPr>
      </w:pPr>
      <w:r>
        <w:rPr>
          <w:rFonts w:ascii="Calibri" w:hAnsi="Calibri" w:cs="Calibri"/>
          <w:color w:val="000000" w:themeColor="text1"/>
          <w:sz w:val="22"/>
          <w:szCs w:val="22"/>
        </w:rPr>
        <w:t>Peer Teaching Observation Process</w:t>
      </w:r>
    </w:p>
    <w:p w14:paraId="2C11F941" w14:textId="77777777" w:rsidR="00C71118" w:rsidRPr="009255D7" w:rsidRDefault="00C71118" w:rsidP="00DE0D72">
      <w:pPr>
        <w:tabs>
          <w:tab w:val="left" w:pos="750"/>
        </w:tabs>
        <w:rPr>
          <w:rFonts w:ascii="Calibri" w:hAnsi="Calibri" w:cs="Calibri"/>
          <w:color w:val="000000" w:themeColor="text1"/>
          <w:sz w:val="22"/>
          <w:szCs w:val="22"/>
        </w:rPr>
      </w:pPr>
    </w:p>
    <w:p w14:paraId="37D8E5CE" w14:textId="6206AFF9" w:rsidR="002E3BEC" w:rsidRPr="002E3BEC" w:rsidRDefault="006E4A19" w:rsidP="002E3BEC">
      <w:pPr>
        <w:pStyle w:val="ListParagraph"/>
        <w:numPr>
          <w:ilvl w:val="0"/>
          <w:numId w:val="12"/>
        </w:numPr>
        <w:tabs>
          <w:tab w:val="left" w:pos="750"/>
        </w:tabs>
        <w:rPr>
          <w:rFonts w:ascii="Calibri" w:hAnsi="Calibri" w:cs="Calibri"/>
          <w:color w:val="000000" w:themeColor="text1"/>
          <w:sz w:val="22"/>
          <w:szCs w:val="22"/>
        </w:rPr>
      </w:pPr>
      <w:r w:rsidRPr="009255D7">
        <w:rPr>
          <w:rFonts w:ascii="Calibri" w:hAnsi="Calibri" w:cs="Calibri"/>
          <w:color w:val="000000" w:themeColor="text1"/>
          <w:sz w:val="22"/>
          <w:szCs w:val="22"/>
        </w:rPr>
        <w:t>Obtain copies of the course syllabus</w:t>
      </w:r>
      <w:r w:rsidR="002E3BEC">
        <w:rPr>
          <w:rFonts w:ascii="Calibri" w:hAnsi="Calibri" w:cs="Calibri"/>
          <w:color w:val="000000" w:themeColor="text1"/>
          <w:sz w:val="22"/>
          <w:szCs w:val="22"/>
        </w:rPr>
        <w:t xml:space="preserve"> and r</w:t>
      </w:r>
      <w:r w:rsidRPr="009255D7">
        <w:rPr>
          <w:rFonts w:ascii="Calibri" w:hAnsi="Calibri" w:cs="Calibri"/>
          <w:color w:val="000000" w:themeColor="text1"/>
          <w:sz w:val="22"/>
          <w:szCs w:val="22"/>
        </w:rPr>
        <w:t xml:space="preserve">eview </w:t>
      </w:r>
      <w:r w:rsidR="002E3BEC">
        <w:rPr>
          <w:rFonts w:ascii="Calibri" w:hAnsi="Calibri" w:cs="Calibri"/>
          <w:color w:val="000000" w:themeColor="text1"/>
          <w:sz w:val="22"/>
          <w:szCs w:val="22"/>
        </w:rPr>
        <w:t>it in advance to understand the context for the class that will be evaluated.  Ask the instructor if they would like to share anything related to the class in advance of the observation.</w:t>
      </w:r>
    </w:p>
    <w:p w14:paraId="73F2ACD4" w14:textId="3B7DD32A" w:rsidR="006E4A19" w:rsidRPr="009255D7" w:rsidRDefault="002E3BEC" w:rsidP="006E4A19">
      <w:pPr>
        <w:pStyle w:val="ListParagraph"/>
        <w:numPr>
          <w:ilvl w:val="0"/>
          <w:numId w:val="12"/>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 xml:space="preserve">Attend the class and make notes based on your observations, using </w:t>
      </w:r>
      <w:r w:rsidR="006E4A19" w:rsidRPr="009255D7">
        <w:rPr>
          <w:rFonts w:ascii="Calibri" w:hAnsi="Calibri" w:cs="Calibri"/>
          <w:color w:val="000000" w:themeColor="text1"/>
          <w:sz w:val="22"/>
          <w:szCs w:val="22"/>
        </w:rPr>
        <w:t>th</w:t>
      </w:r>
      <w:r w:rsidR="00117628">
        <w:rPr>
          <w:rFonts w:ascii="Calibri" w:hAnsi="Calibri" w:cs="Calibri"/>
          <w:color w:val="000000" w:themeColor="text1"/>
          <w:sz w:val="22"/>
          <w:szCs w:val="22"/>
        </w:rPr>
        <w:t>e rubric below.</w:t>
      </w:r>
    </w:p>
    <w:p w14:paraId="20FB0C17" w14:textId="77777777" w:rsidR="002E3BEC" w:rsidRDefault="006E4A19" w:rsidP="006E4A19">
      <w:pPr>
        <w:pStyle w:val="ListParagraph"/>
        <w:numPr>
          <w:ilvl w:val="0"/>
          <w:numId w:val="12"/>
        </w:numPr>
        <w:tabs>
          <w:tab w:val="left" w:pos="750"/>
        </w:tabs>
        <w:rPr>
          <w:rFonts w:ascii="Calibri" w:hAnsi="Calibri" w:cs="Calibri"/>
          <w:color w:val="000000" w:themeColor="text1"/>
          <w:sz w:val="22"/>
          <w:szCs w:val="22"/>
        </w:rPr>
      </w:pPr>
      <w:r w:rsidRPr="009255D7">
        <w:rPr>
          <w:rFonts w:ascii="Calibri" w:hAnsi="Calibri" w:cs="Calibri"/>
          <w:color w:val="000000" w:themeColor="text1"/>
          <w:sz w:val="22"/>
          <w:szCs w:val="22"/>
        </w:rPr>
        <w:t xml:space="preserve">Meet with the instructor </w:t>
      </w:r>
      <w:r w:rsidR="002E3BEC">
        <w:rPr>
          <w:rFonts w:ascii="Calibri" w:hAnsi="Calibri" w:cs="Calibri"/>
          <w:color w:val="000000" w:themeColor="text1"/>
          <w:sz w:val="22"/>
          <w:szCs w:val="22"/>
        </w:rPr>
        <w:t>with the instructor following the class to discuss your observations.  This is an excellent opportunity to share constructive feedback or ask constructive questions and allow the instructor to respond.</w:t>
      </w:r>
    </w:p>
    <w:p w14:paraId="5F4598E8" w14:textId="397D4303" w:rsidR="002E3BEC" w:rsidRDefault="002E3BEC" w:rsidP="006E4A19">
      <w:pPr>
        <w:pStyle w:val="ListParagraph"/>
        <w:numPr>
          <w:ilvl w:val="0"/>
          <w:numId w:val="12"/>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Prepare a written letter using the guidelines below.  The written letter is not expected to precisely mimic the rubric below (i.e. the letter does not need to identify the precise number of “Nos” or “Yeses” in each category).  Rather, the letter should describe the instructor’s performance as related to professional teaching, inclusive teaching, and research-led teaching.</w:t>
      </w:r>
    </w:p>
    <w:p w14:paraId="341C1341" w14:textId="4E193D6C" w:rsidR="006E4A19" w:rsidRDefault="002E3BEC" w:rsidP="006E4A19">
      <w:pPr>
        <w:pStyle w:val="ListParagraph"/>
        <w:numPr>
          <w:ilvl w:val="0"/>
          <w:numId w:val="12"/>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Share a draft of the letter with the instructor and asking for comments.</w:t>
      </w:r>
    </w:p>
    <w:p w14:paraId="39564029" w14:textId="7F03E4AB" w:rsidR="002E3BEC" w:rsidRDefault="002E3BEC" w:rsidP="006E4A19">
      <w:pPr>
        <w:pStyle w:val="ListParagraph"/>
        <w:numPr>
          <w:ilvl w:val="0"/>
          <w:numId w:val="12"/>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Edit the draft as appropriate based on feedback from the instructor.</w:t>
      </w:r>
    </w:p>
    <w:p w14:paraId="53688388" w14:textId="46334FD9" w:rsidR="002E3BEC" w:rsidRDefault="002E3BEC" w:rsidP="006E4A19">
      <w:pPr>
        <w:pStyle w:val="ListParagraph"/>
        <w:numPr>
          <w:ilvl w:val="0"/>
          <w:numId w:val="12"/>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Send the final version of the letter to the instructor.  If the instructor would like to add a rebuttal/comments at the bottom of the letter, they can do so at this stage.</w:t>
      </w:r>
    </w:p>
    <w:p w14:paraId="64D40B6E" w14:textId="1252AE8C" w:rsidR="002E3BEC" w:rsidRPr="009255D7" w:rsidRDefault="002E3BEC" w:rsidP="006E4A19">
      <w:pPr>
        <w:pStyle w:val="ListParagraph"/>
        <w:numPr>
          <w:ilvl w:val="0"/>
          <w:numId w:val="12"/>
        </w:numPr>
        <w:tabs>
          <w:tab w:val="left" w:pos="750"/>
        </w:tabs>
        <w:rPr>
          <w:rFonts w:ascii="Calibri" w:hAnsi="Calibri" w:cs="Calibri"/>
          <w:color w:val="000000" w:themeColor="text1"/>
          <w:sz w:val="22"/>
          <w:szCs w:val="22"/>
        </w:rPr>
      </w:pPr>
      <w:r>
        <w:rPr>
          <w:rFonts w:ascii="Calibri" w:hAnsi="Calibri" w:cs="Calibri"/>
          <w:color w:val="000000" w:themeColor="text1"/>
          <w:sz w:val="22"/>
          <w:szCs w:val="22"/>
        </w:rPr>
        <w:t>Collect signatures and file the letter.</w:t>
      </w:r>
      <w:r w:rsidR="00117628">
        <w:rPr>
          <w:rFonts w:ascii="Calibri" w:hAnsi="Calibri" w:cs="Calibri"/>
          <w:color w:val="000000" w:themeColor="text1"/>
          <w:sz w:val="22"/>
          <w:szCs w:val="22"/>
        </w:rPr>
        <w:t xml:space="preserve">  </w:t>
      </w:r>
      <w:r w:rsidR="00C90699">
        <w:rPr>
          <w:rFonts w:ascii="Calibri" w:hAnsi="Calibri" w:cs="Calibri"/>
          <w:color w:val="000000" w:themeColor="text1"/>
          <w:sz w:val="22"/>
          <w:szCs w:val="22"/>
        </w:rPr>
        <w:t xml:space="preserve">(Note: The rubric itself is designed to help structure the evaluation process, but it should not be formally filed.)  </w:t>
      </w:r>
      <w:r w:rsidR="008110C1">
        <w:rPr>
          <w:rFonts w:ascii="Calibri" w:hAnsi="Calibri" w:cs="Calibri"/>
          <w:color w:val="000000" w:themeColor="text1"/>
          <w:sz w:val="22"/>
          <w:szCs w:val="22"/>
        </w:rPr>
        <w:t>The letter should be filed with PPPM staff.  An electronic copy with a signature should also be retained by the faculty being evaluated as a back-up in cases files are misplaced</w:t>
      </w:r>
      <w:r w:rsidR="00C90699">
        <w:rPr>
          <w:rFonts w:ascii="Calibri" w:hAnsi="Calibri" w:cs="Calibri"/>
          <w:color w:val="000000" w:themeColor="text1"/>
          <w:sz w:val="22"/>
          <w:szCs w:val="22"/>
        </w:rPr>
        <w:t xml:space="preserve">.  </w:t>
      </w:r>
    </w:p>
    <w:p w14:paraId="1BD7F072" w14:textId="77777777" w:rsidR="006E4A19" w:rsidRPr="009255D7" w:rsidRDefault="006E4A19" w:rsidP="00DE0D72">
      <w:pPr>
        <w:tabs>
          <w:tab w:val="left" w:pos="750"/>
        </w:tabs>
        <w:rPr>
          <w:rFonts w:ascii="Calibri" w:hAnsi="Calibri" w:cs="Calibri"/>
          <w:color w:val="000000" w:themeColor="text1"/>
          <w:sz w:val="22"/>
          <w:szCs w:val="22"/>
        </w:rPr>
      </w:pPr>
    </w:p>
    <w:p w14:paraId="46301716" w14:textId="77777777" w:rsidR="006E4A19" w:rsidRPr="009255D7" w:rsidRDefault="006E4A19" w:rsidP="006E4A19">
      <w:pPr>
        <w:tabs>
          <w:tab w:val="left" w:pos="750"/>
        </w:tabs>
        <w:rPr>
          <w:rFonts w:ascii="Calibri" w:hAnsi="Calibri" w:cs="Calibri"/>
          <w:color w:val="000000" w:themeColor="text1"/>
          <w:sz w:val="22"/>
          <w:szCs w:val="22"/>
        </w:rPr>
      </w:pPr>
    </w:p>
    <w:p w14:paraId="3DF28062" w14:textId="77777777" w:rsidR="006E4A19" w:rsidRPr="009255D7" w:rsidRDefault="006E4A19" w:rsidP="006E4A19">
      <w:pPr>
        <w:tabs>
          <w:tab w:val="left" w:pos="750"/>
        </w:tabs>
        <w:rPr>
          <w:rFonts w:ascii="Calibri" w:hAnsi="Calibri" w:cs="Calibri"/>
          <w:color w:val="000000" w:themeColor="text1"/>
          <w:sz w:val="22"/>
          <w:szCs w:val="22"/>
        </w:rPr>
        <w:sectPr w:rsidR="006E4A19" w:rsidRPr="009255D7" w:rsidSect="0062210C">
          <w:headerReference w:type="default" r:id="rId8"/>
          <w:footerReference w:type="default" r:id="rId9"/>
          <w:headerReference w:type="first" r:id="rId10"/>
          <w:footerReference w:type="first" r:id="rId11"/>
          <w:pgSz w:w="12240" w:h="15840" w:code="1"/>
          <w:pgMar w:top="1440" w:right="1440" w:bottom="1440" w:left="1440" w:header="576" w:footer="864" w:gutter="0"/>
          <w:cols w:space="720"/>
          <w:titlePg/>
          <w:docGrid w:linePitch="360"/>
        </w:sectPr>
      </w:pPr>
    </w:p>
    <w:p w14:paraId="1B33FDD4" w14:textId="77777777" w:rsidR="00960A21" w:rsidRPr="009255D7" w:rsidRDefault="00960A21" w:rsidP="00DE0D72">
      <w:pPr>
        <w:tabs>
          <w:tab w:val="left" w:pos="750"/>
        </w:tabs>
        <w:rPr>
          <w:rFonts w:ascii="Calibri" w:hAnsi="Calibri" w:cs="Calibri"/>
          <w:color w:val="000000" w:themeColor="text1"/>
          <w:sz w:val="22"/>
          <w:szCs w:val="22"/>
        </w:rPr>
      </w:pPr>
    </w:p>
    <w:p w14:paraId="349D79C5" w14:textId="77777777" w:rsidR="00B27F0E" w:rsidRPr="009255D7" w:rsidRDefault="00B27F0E" w:rsidP="00DE0D72">
      <w:pPr>
        <w:tabs>
          <w:tab w:val="left" w:pos="750"/>
        </w:tabs>
        <w:rPr>
          <w:rFonts w:ascii="Calibri" w:hAnsi="Calibri" w:cs="Calibri"/>
          <w:color w:val="000000" w:themeColor="text1"/>
          <w:sz w:val="22"/>
          <w:szCs w:val="22"/>
        </w:rPr>
      </w:pPr>
    </w:p>
    <w:tbl>
      <w:tblPr>
        <w:tblStyle w:val="TableGrid"/>
        <w:tblW w:w="0" w:type="auto"/>
        <w:tblLook w:val="04A0" w:firstRow="1" w:lastRow="0" w:firstColumn="1" w:lastColumn="0" w:noHBand="0" w:noVBand="1"/>
      </w:tblPr>
      <w:tblGrid>
        <w:gridCol w:w="2674"/>
        <w:gridCol w:w="2994"/>
        <w:gridCol w:w="3093"/>
        <w:gridCol w:w="2029"/>
      </w:tblGrid>
      <w:tr w:rsidR="009255D7" w:rsidRPr="009255D7" w14:paraId="09B86C58" w14:textId="77777777" w:rsidTr="00C90699">
        <w:tc>
          <w:tcPr>
            <w:tcW w:w="2674" w:type="dxa"/>
          </w:tcPr>
          <w:p w14:paraId="1855468C" w14:textId="77777777" w:rsidR="00A30421" w:rsidRPr="009255D7" w:rsidRDefault="00A30421" w:rsidP="00D55BCE">
            <w:pPr>
              <w:tabs>
                <w:tab w:val="left" w:pos="750"/>
              </w:tabs>
              <w:jc w:val="right"/>
              <w:rPr>
                <w:rFonts w:ascii="Calibri" w:hAnsi="Calibri" w:cs="Calibri"/>
                <w:color w:val="000000" w:themeColor="text1"/>
                <w:sz w:val="22"/>
                <w:szCs w:val="22"/>
              </w:rPr>
            </w:pPr>
            <w:r w:rsidRPr="009255D7">
              <w:rPr>
                <w:rFonts w:ascii="Calibri" w:hAnsi="Calibri" w:cs="Calibri"/>
                <w:color w:val="000000" w:themeColor="text1"/>
                <w:sz w:val="22"/>
                <w:szCs w:val="22"/>
              </w:rPr>
              <w:t>Date:</w:t>
            </w:r>
          </w:p>
        </w:tc>
        <w:tc>
          <w:tcPr>
            <w:tcW w:w="2994" w:type="dxa"/>
          </w:tcPr>
          <w:p w14:paraId="1A802362" w14:textId="77777777" w:rsidR="00A30421" w:rsidRPr="009255D7" w:rsidRDefault="00A30421" w:rsidP="00FC53D7">
            <w:pPr>
              <w:tabs>
                <w:tab w:val="left" w:pos="750"/>
              </w:tabs>
              <w:rPr>
                <w:rFonts w:ascii="Calibri" w:hAnsi="Calibri" w:cs="Calibri"/>
                <w:color w:val="000000" w:themeColor="text1"/>
                <w:sz w:val="22"/>
                <w:szCs w:val="22"/>
              </w:rPr>
            </w:pP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t xml:space="preserve">     </w:t>
            </w:r>
          </w:p>
        </w:tc>
        <w:tc>
          <w:tcPr>
            <w:tcW w:w="3093" w:type="dxa"/>
          </w:tcPr>
          <w:p w14:paraId="40DA14C2" w14:textId="77777777" w:rsidR="00A30421" w:rsidRPr="009255D7" w:rsidRDefault="00A30421" w:rsidP="004555EB">
            <w:pPr>
              <w:jc w:val="right"/>
              <w:rPr>
                <w:rFonts w:ascii="Calibri" w:hAnsi="Calibri" w:cs="Calibri"/>
                <w:color w:val="000000" w:themeColor="text1"/>
                <w:sz w:val="22"/>
                <w:szCs w:val="22"/>
              </w:rPr>
            </w:pPr>
            <w:r w:rsidRPr="009255D7">
              <w:rPr>
                <w:rFonts w:ascii="Calibri" w:hAnsi="Calibri" w:cs="Calibri"/>
                <w:color w:val="000000" w:themeColor="text1"/>
                <w:sz w:val="22"/>
                <w:szCs w:val="22"/>
              </w:rPr>
              <w:t>Has observer obtained course syllabus?</w:t>
            </w:r>
          </w:p>
        </w:tc>
        <w:tc>
          <w:tcPr>
            <w:tcW w:w="2029" w:type="dxa"/>
          </w:tcPr>
          <w:p w14:paraId="095B2C20" w14:textId="77777777" w:rsidR="00A30421" w:rsidRPr="009255D7" w:rsidRDefault="00A30421" w:rsidP="00FC53D7">
            <w:pPr>
              <w:tabs>
                <w:tab w:val="left" w:pos="750"/>
              </w:tabs>
              <w:rPr>
                <w:rFonts w:ascii="Calibri" w:hAnsi="Calibri" w:cs="Calibri"/>
                <w:color w:val="000000" w:themeColor="text1"/>
                <w:sz w:val="22"/>
                <w:szCs w:val="22"/>
              </w:rPr>
            </w:pPr>
          </w:p>
        </w:tc>
      </w:tr>
      <w:tr w:rsidR="009255D7" w:rsidRPr="009255D7" w14:paraId="69F9FFCD" w14:textId="77777777" w:rsidTr="00C90699">
        <w:tc>
          <w:tcPr>
            <w:tcW w:w="2674" w:type="dxa"/>
          </w:tcPr>
          <w:p w14:paraId="03211F99" w14:textId="77777777" w:rsidR="00A30421" w:rsidRPr="009255D7" w:rsidRDefault="00A30421" w:rsidP="00D55BCE">
            <w:pPr>
              <w:jc w:val="right"/>
              <w:rPr>
                <w:rFonts w:ascii="Calibri" w:hAnsi="Calibri" w:cs="Calibri"/>
                <w:color w:val="000000" w:themeColor="text1"/>
                <w:sz w:val="22"/>
                <w:szCs w:val="22"/>
              </w:rPr>
            </w:pPr>
            <w:r w:rsidRPr="009255D7">
              <w:rPr>
                <w:rFonts w:ascii="Calibri" w:hAnsi="Calibri" w:cs="Calibri"/>
                <w:color w:val="000000" w:themeColor="text1"/>
                <w:sz w:val="22"/>
                <w:szCs w:val="22"/>
              </w:rPr>
              <w:t xml:space="preserve">Instructor:         </w:t>
            </w:r>
          </w:p>
        </w:tc>
        <w:tc>
          <w:tcPr>
            <w:tcW w:w="2994" w:type="dxa"/>
          </w:tcPr>
          <w:p w14:paraId="28C5E9D4" w14:textId="77777777" w:rsidR="00A30421" w:rsidRPr="009255D7" w:rsidRDefault="00A30421" w:rsidP="00FC53D7">
            <w:pPr>
              <w:rPr>
                <w:rFonts w:ascii="Calibri" w:hAnsi="Calibri" w:cs="Calibri"/>
                <w:color w:val="000000" w:themeColor="text1"/>
                <w:sz w:val="22"/>
                <w:szCs w:val="22"/>
              </w:rPr>
            </w:pPr>
            <w:r w:rsidRPr="009255D7">
              <w:rPr>
                <w:rFonts w:ascii="Calibri" w:hAnsi="Calibri" w:cs="Calibri"/>
                <w:color w:val="000000" w:themeColor="text1"/>
                <w:sz w:val="22"/>
                <w:szCs w:val="22"/>
              </w:rPr>
              <w:t xml:space="preserve"> </w:t>
            </w:r>
          </w:p>
        </w:tc>
        <w:tc>
          <w:tcPr>
            <w:tcW w:w="3093" w:type="dxa"/>
          </w:tcPr>
          <w:p w14:paraId="4BA83B2A" w14:textId="77777777" w:rsidR="00A30421" w:rsidRPr="009255D7" w:rsidRDefault="00A30421" w:rsidP="004555EB">
            <w:pPr>
              <w:jc w:val="right"/>
              <w:rPr>
                <w:rFonts w:ascii="Calibri" w:hAnsi="Calibri" w:cs="Calibri"/>
                <w:color w:val="000000" w:themeColor="text1"/>
                <w:sz w:val="22"/>
                <w:szCs w:val="22"/>
              </w:rPr>
            </w:pPr>
            <w:r w:rsidRPr="009255D7">
              <w:rPr>
                <w:rFonts w:ascii="Calibri" w:hAnsi="Calibri" w:cs="Calibri"/>
                <w:color w:val="000000" w:themeColor="text1"/>
                <w:sz w:val="22"/>
                <w:szCs w:val="22"/>
              </w:rPr>
              <w:t>Has observer obtained course learning objectives?</w:t>
            </w:r>
          </w:p>
        </w:tc>
        <w:tc>
          <w:tcPr>
            <w:tcW w:w="2029" w:type="dxa"/>
          </w:tcPr>
          <w:p w14:paraId="0FF2A03D" w14:textId="77777777" w:rsidR="00A30421" w:rsidRPr="009255D7" w:rsidRDefault="00A30421" w:rsidP="00FC53D7">
            <w:pPr>
              <w:rPr>
                <w:rFonts w:ascii="Calibri" w:hAnsi="Calibri" w:cs="Calibri"/>
                <w:color w:val="000000" w:themeColor="text1"/>
                <w:sz w:val="22"/>
                <w:szCs w:val="22"/>
              </w:rPr>
            </w:pPr>
          </w:p>
        </w:tc>
      </w:tr>
      <w:tr w:rsidR="00C90699" w:rsidRPr="009255D7" w14:paraId="12F94795" w14:textId="77777777" w:rsidTr="00C90699">
        <w:tc>
          <w:tcPr>
            <w:tcW w:w="2674" w:type="dxa"/>
          </w:tcPr>
          <w:p w14:paraId="36D74BCB" w14:textId="77777777" w:rsidR="00C90699" w:rsidRPr="009255D7" w:rsidRDefault="00C90699" w:rsidP="00C90699">
            <w:pPr>
              <w:jc w:val="right"/>
              <w:rPr>
                <w:rFonts w:ascii="Calibri" w:hAnsi="Calibri" w:cs="Calibri"/>
                <w:color w:val="000000" w:themeColor="text1"/>
                <w:sz w:val="22"/>
                <w:szCs w:val="22"/>
              </w:rPr>
            </w:pPr>
            <w:r w:rsidRPr="009255D7">
              <w:rPr>
                <w:rFonts w:ascii="Calibri" w:hAnsi="Calibri" w:cs="Calibri"/>
                <w:color w:val="000000" w:themeColor="text1"/>
                <w:sz w:val="22"/>
                <w:szCs w:val="22"/>
              </w:rPr>
              <w:t>Observer:</w:t>
            </w:r>
          </w:p>
        </w:tc>
        <w:tc>
          <w:tcPr>
            <w:tcW w:w="2994" w:type="dxa"/>
          </w:tcPr>
          <w:p w14:paraId="7C8368EF" w14:textId="77777777" w:rsidR="00C90699" w:rsidRPr="009255D7" w:rsidRDefault="00C90699" w:rsidP="00C90699">
            <w:pPr>
              <w:rPr>
                <w:rFonts w:ascii="Calibri" w:hAnsi="Calibri" w:cs="Calibri"/>
                <w:color w:val="000000" w:themeColor="text1"/>
                <w:sz w:val="22"/>
                <w:szCs w:val="22"/>
              </w:rPr>
            </w:pPr>
          </w:p>
        </w:tc>
        <w:tc>
          <w:tcPr>
            <w:tcW w:w="3093" w:type="dxa"/>
          </w:tcPr>
          <w:p w14:paraId="585D8FE2" w14:textId="761176A7" w:rsidR="00C90699" w:rsidRPr="009255D7" w:rsidRDefault="00C90699" w:rsidP="00C90699">
            <w:pPr>
              <w:jc w:val="right"/>
              <w:rPr>
                <w:rFonts w:ascii="Calibri" w:hAnsi="Calibri" w:cs="Calibri"/>
                <w:color w:val="000000" w:themeColor="text1"/>
                <w:sz w:val="22"/>
                <w:szCs w:val="22"/>
              </w:rPr>
            </w:pPr>
            <w:r w:rsidRPr="009255D7">
              <w:rPr>
                <w:rFonts w:ascii="Calibri" w:hAnsi="Calibri" w:cs="Calibri"/>
                <w:color w:val="000000" w:themeColor="text1"/>
                <w:sz w:val="22"/>
                <w:szCs w:val="22"/>
              </w:rPr>
              <w:t>Will/have reviewer and instructor meet after observation to discuss results?</w:t>
            </w:r>
          </w:p>
        </w:tc>
        <w:tc>
          <w:tcPr>
            <w:tcW w:w="2029" w:type="dxa"/>
          </w:tcPr>
          <w:p w14:paraId="1865C312" w14:textId="77777777" w:rsidR="00C90699" w:rsidRPr="009255D7" w:rsidRDefault="00C90699" w:rsidP="00C90699">
            <w:pPr>
              <w:rPr>
                <w:rFonts w:ascii="Calibri" w:hAnsi="Calibri" w:cs="Calibri"/>
                <w:color w:val="000000" w:themeColor="text1"/>
                <w:sz w:val="22"/>
                <w:szCs w:val="22"/>
              </w:rPr>
            </w:pPr>
          </w:p>
        </w:tc>
      </w:tr>
      <w:tr w:rsidR="00C90699" w:rsidRPr="009255D7" w14:paraId="561A6ABC" w14:textId="77777777" w:rsidTr="00C90699">
        <w:tc>
          <w:tcPr>
            <w:tcW w:w="2674" w:type="dxa"/>
          </w:tcPr>
          <w:p w14:paraId="003BE1E5" w14:textId="77777777" w:rsidR="00C90699" w:rsidRPr="009255D7" w:rsidRDefault="00C90699" w:rsidP="00C90699">
            <w:pPr>
              <w:jc w:val="right"/>
              <w:rPr>
                <w:rFonts w:ascii="Calibri" w:hAnsi="Calibri" w:cs="Calibri"/>
                <w:color w:val="000000" w:themeColor="text1"/>
                <w:sz w:val="22"/>
                <w:szCs w:val="22"/>
              </w:rPr>
            </w:pPr>
            <w:r w:rsidRPr="009255D7">
              <w:rPr>
                <w:rFonts w:ascii="Calibri" w:hAnsi="Calibri" w:cs="Calibri"/>
                <w:color w:val="000000" w:themeColor="text1"/>
                <w:sz w:val="22"/>
                <w:szCs w:val="22"/>
              </w:rPr>
              <w:t>Course:</w:t>
            </w:r>
            <w:r w:rsidRPr="009255D7">
              <w:rPr>
                <w:rFonts w:ascii="Calibri" w:hAnsi="Calibri" w:cs="Calibri"/>
                <w:color w:val="000000" w:themeColor="text1"/>
                <w:sz w:val="22"/>
                <w:szCs w:val="22"/>
              </w:rPr>
              <w:tab/>
            </w:r>
          </w:p>
        </w:tc>
        <w:tc>
          <w:tcPr>
            <w:tcW w:w="2994" w:type="dxa"/>
          </w:tcPr>
          <w:p w14:paraId="1455BB9A" w14:textId="77777777" w:rsidR="00C90699" w:rsidRPr="009255D7" w:rsidRDefault="00C90699" w:rsidP="00C90699">
            <w:pPr>
              <w:rPr>
                <w:rFonts w:ascii="Calibri" w:hAnsi="Calibri" w:cs="Calibri"/>
                <w:color w:val="000000" w:themeColor="text1"/>
                <w:sz w:val="22"/>
                <w:szCs w:val="22"/>
              </w:rPr>
            </w:pPr>
          </w:p>
        </w:tc>
        <w:tc>
          <w:tcPr>
            <w:tcW w:w="3093" w:type="dxa"/>
          </w:tcPr>
          <w:p w14:paraId="380AB945" w14:textId="3AB6BECD" w:rsidR="00C90699" w:rsidRPr="009255D7" w:rsidRDefault="00C90699" w:rsidP="00C90699">
            <w:pPr>
              <w:jc w:val="right"/>
              <w:rPr>
                <w:rFonts w:ascii="Calibri" w:hAnsi="Calibri" w:cs="Calibri"/>
                <w:color w:val="000000" w:themeColor="text1"/>
                <w:sz w:val="22"/>
                <w:szCs w:val="22"/>
              </w:rPr>
            </w:pPr>
            <w:r w:rsidRPr="009255D7">
              <w:rPr>
                <w:rFonts w:ascii="Calibri" w:hAnsi="Calibri" w:cs="Calibri"/>
                <w:color w:val="000000" w:themeColor="text1"/>
                <w:sz w:val="22"/>
                <w:szCs w:val="22"/>
              </w:rPr>
              <w:t>List any aspects of the physical classroom environment that might affect the class (hot/cold, noise, etc.)</w:t>
            </w:r>
          </w:p>
        </w:tc>
        <w:tc>
          <w:tcPr>
            <w:tcW w:w="2029" w:type="dxa"/>
          </w:tcPr>
          <w:p w14:paraId="0E72685D" w14:textId="77777777" w:rsidR="00C90699" w:rsidRPr="009255D7" w:rsidRDefault="00C90699" w:rsidP="00C90699">
            <w:pPr>
              <w:rPr>
                <w:rFonts w:ascii="Calibri" w:hAnsi="Calibri" w:cs="Calibri"/>
                <w:color w:val="000000" w:themeColor="text1"/>
                <w:sz w:val="22"/>
                <w:szCs w:val="22"/>
              </w:rPr>
            </w:pPr>
          </w:p>
        </w:tc>
      </w:tr>
      <w:tr w:rsidR="009255D7" w:rsidRPr="009255D7" w14:paraId="6A54A1AF" w14:textId="77777777" w:rsidTr="00C90699">
        <w:tc>
          <w:tcPr>
            <w:tcW w:w="2674" w:type="dxa"/>
          </w:tcPr>
          <w:p w14:paraId="4E7D9BEB" w14:textId="77777777" w:rsidR="00A30421" w:rsidRPr="009255D7" w:rsidRDefault="00A30421" w:rsidP="00A30421">
            <w:pPr>
              <w:jc w:val="right"/>
              <w:rPr>
                <w:rFonts w:ascii="Calibri" w:hAnsi="Calibri" w:cs="Calibri"/>
                <w:color w:val="000000" w:themeColor="text1"/>
                <w:sz w:val="22"/>
                <w:szCs w:val="22"/>
              </w:rPr>
            </w:pPr>
            <w:r w:rsidRPr="009255D7">
              <w:rPr>
                <w:rFonts w:ascii="Calibri" w:hAnsi="Calibri" w:cs="Calibri"/>
                <w:color w:val="000000" w:themeColor="text1"/>
                <w:sz w:val="22"/>
                <w:szCs w:val="22"/>
              </w:rPr>
              <w:t>Number of Students (approx.):</w:t>
            </w:r>
          </w:p>
        </w:tc>
        <w:tc>
          <w:tcPr>
            <w:tcW w:w="2994" w:type="dxa"/>
          </w:tcPr>
          <w:p w14:paraId="43D3563F" w14:textId="77777777" w:rsidR="00A30421" w:rsidRPr="009255D7" w:rsidRDefault="00A30421" w:rsidP="00FC53D7">
            <w:pPr>
              <w:rPr>
                <w:rFonts w:ascii="Calibri" w:hAnsi="Calibri" w:cs="Calibri"/>
                <w:color w:val="000000" w:themeColor="text1"/>
                <w:sz w:val="22"/>
                <w:szCs w:val="22"/>
              </w:rPr>
            </w:pPr>
          </w:p>
        </w:tc>
        <w:tc>
          <w:tcPr>
            <w:tcW w:w="3093" w:type="dxa"/>
          </w:tcPr>
          <w:p w14:paraId="1DA07A7E" w14:textId="70A85405" w:rsidR="00A30421" w:rsidRPr="009255D7" w:rsidRDefault="00A30421" w:rsidP="004555EB">
            <w:pPr>
              <w:jc w:val="right"/>
              <w:rPr>
                <w:rFonts w:ascii="Calibri" w:hAnsi="Calibri" w:cs="Calibri"/>
                <w:color w:val="000000" w:themeColor="text1"/>
                <w:sz w:val="22"/>
                <w:szCs w:val="22"/>
              </w:rPr>
            </w:pPr>
          </w:p>
        </w:tc>
        <w:tc>
          <w:tcPr>
            <w:tcW w:w="2029" w:type="dxa"/>
          </w:tcPr>
          <w:p w14:paraId="3087F1D1" w14:textId="77777777" w:rsidR="00A30421" w:rsidRPr="009255D7" w:rsidRDefault="00A30421" w:rsidP="00FC53D7">
            <w:pPr>
              <w:rPr>
                <w:rFonts w:ascii="Calibri" w:hAnsi="Calibri" w:cs="Calibri"/>
                <w:color w:val="000000" w:themeColor="text1"/>
                <w:sz w:val="22"/>
                <w:szCs w:val="22"/>
              </w:rPr>
            </w:pPr>
          </w:p>
        </w:tc>
      </w:tr>
      <w:tr w:rsidR="009255D7" w:rsidRPr="009255D7" w14:paraId="43AA7346" w14:textId="77777777" w:rsidTr="00C90699">
        <w:tc>
          <w:tcPr>
            <w:tcW w:w="2674" w:type="dxa"/>
          </w:tcPr>
          <w:p w14:paraId="4BCBB0B5" w14:textId="77777777" w:rsidR="00A30421" w:rsidRPr="009255D7" w:rsidRDefault="00A30421" w:rsidP="004555EB">
            <w:pPr>
              <w:jc w:val="right"/>
              <w:rPr>
                <w:rFonts w:ascii="Calibri" w:hAnsi="Calibri" w:cs="Calibri"/>
                <w:color w:val="000000" w:themeColor="text1"/>
                <w:sz w:val="22"/>
                <w:szCs w:val="22"/>
              </w:rPr>
            </w:pPr>
            <w:r w:rsidRPr="009255D7">
              <w:rPr>
                <w:rFonts w:ascii="Calibri" w:hAnsi="Calibri" w:cs="Calibri"/>
                <w:color w:val="000000" w:themeColor="text1"/>
                <w:sz w:val="22"/>
                <w:szCs w:val="22"/>
              </w:rPr>
              <w:t>Classroom Layout:</w:t>
            </w:r>
          </w:p>
        </w:tc>
        <w:tc>
          <w:tcPr>
            <w:tcW w:w="2994" w:type="dxa"/>
          </w:tcPr>
          <w:p w14:paraId="6046EC70" w14:textId="77777777" w:rsidR="00A30421" w:rsidRPr="009255D7" w:rsidRDefault="00A30421" w:rsidP="00FC53D7">
            <w:pPr>
              <w:rPr>
                <w:rFonts w:ascii="Calibri" w:hAnsi="Calibri" w:cs="Calibri"/>
                <w:color w:val="000000" w:themeColor="text1"/>
                <w:sz w:val="22"/>
                <w:szCs w:val="22"/>
              </w:rPr>
            </w:pPr>
          </w:p>
        </w:tc>
        <w:tc>
          <w:tcPr>
            <w:tcW w:w="3093" w:type="dxa"/>
            <w:vMerge w:val="restart"/>
          </w:tcPr>
          <w:p w14:paraId="1BE978FB" w14:textId="04AC3E41" w:rsidR="00A30421" w:rsidRPr="009255D7" w:rsidRDefault="00A30421" w:rsidP="00B27F0E">
            <w:pPr>
              <w:jc w:val="right"/>
              <w:rPr>
                <w:rFonts w:ascii="Calibri" w:hAnsi="Calibri" w:cs="Calibri"/>
                <w:color w:val="000000" w:themeColor="text1"/>
                <w:sz w:val="22"/>
                <w:szCs w:val="22"/>
              </w:rPr>
            </w:pPr>
          </w:p>
        </w:tc>
        <w:tc>
          <w:tcPr>
            <w:tcW w:w="2029" w:type="dxa"/>
            <w:vMerge w:val="restart"/>
          </w:tcPr>
          <w:p w14:paraId="66D2E510" w14:textId="77777777" w:rsidR="00A30421" w:rsidRPr="009255D7" w:rsidRDefault="00A30421" w:rsidP="00FC53D7">
            <w:pPr>
              <w:rPr>
                <w:rFonts w:ascii="Calibri" w:hAnsi="Calibri" w:cs="Calibri"/>
                <w:color w:val="000000" w:themeColor="text1"/>
                <w:sz w:val="22"/>
                <w:szCs w:val="22"/>
              </w:rPr>
            </w:pPr>
          </w:p>
        </w:tc>
      </w:tr>
      <w:tr w:rsidR="009255D7" w:rsidRPr="009255D7" w14:paraId="0B5E097D" w14:textId="77777777" w:rsidTr="00C90699">
        <w:tc>
          <w:tcPr>
            <w:tcW w:w="2674" w:type="dxa"/>
          </w:tcPr>
          <w:p w14:paraId="7D1523CF" w14:textId="77777777" w:rsidR="00A30421" w:rsidRPr="009255D7" w:rsidRDefault="00A30421" w:rsidP="004555EB">
            <w:pPr>
              <w:jc w:val="right"/>
              <w:rPr>
                <w:rFonts w:ascii="Calibri" w:hAnsi="Calibri" w:cs="Calibri"/>
                <w:color w:val="000000" w:themeColor="text1"/>
                <w:sz w:val="22"/>
                <w:szCs w:val="22"/>
              </w:rPr>
            </w:pPr>
            <w:r w:rsidRPr="009255D7">
              <w:rPr>
                <w:rFonts w:ascii="Calibri" w:hAnsi="Calibri" w:cs="Calibri"/>
                <w:color w:val="000000" w:themeColor="text1"/>
                <w:sz w:val="22"/>
                <w:szCs w:val="22"/>
              </w:rPr>
              <w:t>List audio/visual media or materials used (e.g. PowerPoint, board, document camera, handouts, polling devices, etc.)</w:t>
            </w:r>
          </w:p>
        </w:tc>
        <w:tc>
          <w:tcPr>
            <w:tcW w:w="2994" w:type="dxa"/>
          </w:tcPr>
          <w:p w14:paraId="2F0BC52B" w14:textId="77777777" w:rsidR="00A30421" w:rsidRPr="009255D7" w:rsidRDefault="00A30421" w:rsidP="00FC53D7">
            <w:pPr>
              <w:rPr>
                <w:rFonts w:ascii="Calibri" w:hAnsi="Calibri" w:cs="Calibri"/>
                <w:color w:val="000000" w:themeColor="text1"/>
                <w:sz w:val="22"/>
                <w:szCs w:val="22"/>
              </w:rPr>
            </w:pPr>
          </w:p>
        </w:tc>
        <w:tc>
          <w:tcPr>
            <w:tcW w:w="3093" w:type="dxa"/>
            <w:vMerge/>
          </w:tcPr>
          <w:p w14:paraId="7197DDF5" w14:textId="77777777" w:rsidR="00A30421" w:rsidRPr="009255D7" w:rsidRDefault="00A30421" w:rsidP="00FC53D7">
            <w:pPr>
              <w:rPr>
                <w:rFonts w:ascii="Calibri" w:hAnsi="Calibri" w:cs="Calibri"/>
                <w:color w:val="000000" w:themeColor="text1"/>
                <w:sz w:val="22"/>
                <w:szCs w:val="22"/>
              </w:rPr>
            </w:pPr>
          </w:p>
        </w:tc>
        <w:tc>
          <w:tcPr>
            <w:tcW w:w="2029" w:type="dxa"/>
            <w:vMerge/>
          </w:tcPr>
          <w:p w14:paraId="6A2AE9F3" w14:textId="77777777" w:rsidR="00A30421" w:rsidRPr="009255D7" w:rsidRDefault="00A30421" w:rsidP="00FC53D7">
            <w:pPr>
              <w:rPr>
                <w:rFonts w:ascii="Calibri" w:hAnsi="Calibri" w:cs="Calibri"/>
                <w:color w:val="000000" w:themeColor="text1"/>
                <w:sz w:val="22"/>
                <w:szCs w:val="22"/>
              </w:rPr>
            </w:pPr>
          </w:p>
        </w:tc>
      </w:tr>
    </w:tbl>
    <w:p w14:paraId="319EBDB4" w14:textId="77777777" w:rsidR="00DE0D72" w:rsidRPr="009255D7" w:rsidRDefault="002F1E6D" w:rsidP="00DE0D72">
      <w:pPr>
        <w:rPr>
          <w:rFonts w:ascii="Calibri" w:hAnsi="Calibri" w:cs="Calibri"/>
          <w:color w:val="000000" w:themeColor="text1"/>
          <w:sz w:val="22"/>
          <w:szCs w:val="22"/>
        </w:rPr>
      </w:pP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003B641A" w:rsidRPr="009255D7">
        <w:rPr>
          <w:rFonts w:ascii="Calibri" w:hAnsi="Calibri" w:cs="Calibri"/>
          <w:color w:val="000000" w:themeColor="text1"/>
          <w:sz w:val="22"/>
          <w:szCs w:val="22"/>
        </w:rPr>
        <w:tab/>
      </w:r>
      <w:r w:rsidR="00D75AB9" w:rsidRPr="009255D7">
        <w:rPr>
          <w:rFonts w:ascii="Calibri" w:hAnsi="Calibri" w:cs="Calibri"/>
          <w:color w:val="000000" w:themeColor="text1"/>
          <w:sz w:val="22"/>
          <w:szCs w:val="22"/>
        </w:rPr>
        <w:tab/>
        <w:t xml:space="preserve">     </w:t>
      </w:r>
    </w:p>
    <w:tbl>
      <w:tblPr>
        <w:tblStyle w:val="TableGrid"/>
        <w:tblW w:w="0" w:type="auto"/>
        <w:tblLook w:val="04A0" w:firstRow="1" w:lastRow="0" w:firstColumn="1" w:lastColumn="0" w:noHBand="0" w:noVBand="1"/>
      </w:tblPr>
      <w:tblGrid>
        <w:gridCol w:w="3976"/>
        <w:gridCol w:w="1342"/>
        <w:gridCol w:w="5472"/>
      </w:tblGrid>
      <w:tr w:rsidR="000A3398" w:rsidRPr="009255D7" w14:paraId="61CA0ECC" w14:textId="77777777" w:rsidTr="000A3398">
        <w:tc>
          <w:tcPr>
            <w:tcW w:w="4068" w:type="dxa"/>
            <w:vAlign w:val="center"/>
          </w:tcPr>
          <w:p w14:paraId="5238A3E8" w14:textId="77777777" w:rsidR="000A3398" w:rsidRPr="009255D7" w:rsidRDefault="00741819" w:rsidP="000A3398">
            <w:pPr>
              <w:jc w:val="center"/>
              <w:rPr>
                <w:rFonts w:ascii="Calibri" w:hAnsi="Calibri" w:cs="Calibri"/>
                <w:b/>
                <w:color w:val="000000" w:themeColor="text1"/>
                <w:sz w:val="22"/>
                <w:szCs w:val="22"/>
              </w:rPr>
            </w:pPr>
            <w:r w:rsidRPr="009255D7">
              <w:rPr>
                <w:rFonts w:ascii="Calibri" w:hAnsi="Calibri" w:cs="Calibri"/>
                <w:b/>
                <w:color w:val="000000" w:themeColor="text1"/>
                <w:sz w:val="22"/>
                <w:szCs w:val="22"/>
                <w:u w:val="single"/>
              </w:rPr>
              <w:t>Practices</w:t>
            </w:r>
          </w:p>
        </w:tc>
        <w:tc>
          <w:tcPr>
            <w:tcW w:w="1350" w:type="dxa"/>
            <w:vAlign w:val="center"/>
          </w:tcPr>
          <w:p w14:paraId="61F4CE60" w14:textId="77777777" w:rsidR="000A3398" w:rsidRPr="009255D7" w:rsidRDefault="000A3398" w:rsidP="000A3398">
            <w:pPr>
              <w:pStyle w:val="BodyText2"/>
              <w:spacing w:after="0" w:line="240" w:lineRule="auto"/>
              <w:jc w:val="center"/>
              <w:rPr>
                <w:rFonts w:ascii="Calibri" w:hAnsi="Calibri" w:cs="Calibri"/>
                <w:b/>
                <w:color w:val="000000" w:themeColor="text1"/>
                <w:sz w:val="16"/>
                <w:szCs w:val="22"/>
                <w:u w:val="single"/>
              </w:rPr>
            </w:pPr>
            <w:r w:rsidRPr="009255D7">
              <w:rPr>
                <w:rFonts w:ascii="Calibri" w:hAnsi="Calibri" w:cs="Calibri"/>
                <w:b/>
                <w:color w:val="000000" w:themeColor="text1"/>
                <w:sz w:val="16"/>
                <w:szCs w:val="22"/>
                <w:u w:val="single"/>
              </w:rPr>
              <w:t>Yes/Mostly/</w:t>
            </w:r>
          </w:p>
          <w:p w14:paraId="079E2394" w14:textId="77777777" w:rsidR="000A3398" w:rsidRPr="009255D7" w:rsidRDefault="000A3398" w:rsidP="000A3398">
            <w:pPr>
              <w:pStyle w:val="BodyText2"/>
              <w:spacing w:after="0" w:line="240" w:lineRule="auto"/>
              <w:jc w:val="center"/>
              <w:rPr>
                <w:rFonts w:ascii="Calibri" w:hAnsi="Calibri" w:cs="Calibri"/>
                <w:b/>
                <w:color w:val="000000" w:themeColor="text1"/>
                <w:sz w:val="16"/>
                <w:szCs w:val="22"/>
                <w:u w:val="single"/>
              </w:rPr>
            </w:pPr>
            <w:r w:rsidRPr="009255D7">
              <w:rPr>
                <w:rFonts w:ascii="Calibri" w:hAnsi="Calibri" w:cs="Calibri"/>
                <w:b/>
                <w:color w:val="000000" w:themeColor="text1"/>
                <w:sz w:val="16"/>
                <w:szCs w:val="22"/>
                <w:u w:val="single"/>
              </w:rPr>
              <w:t>Partially/No/</w:t>
            </w:r>
          </w:p>
          <w:p w14:paraId="58C78B0E" w14:textId="77777777" w:rsidR="000A3398" w:rsidRPr="009255D7" w:rsidRDefault="000A3398" w:rsidP="000A3398">
            <w:pPr>
              <w:jc w:val="center"/>
              <w:rPr>
                <w:rFonts w:ascii="Calibri" w:hAnsi="Calibri" w:cs="Calibri"/>
                <w:b/>
                <w:color w:val="000000" w:themeColor="text1"/>
                <w:sz w:val="22"/>
                <w:szCs w:val="22"/>
              </w:rPr>
            </w:pPr>
            <w:r w:rsidRPr="009255D7">
              <w:rPr>
                <w:rFonts w:ascii="Calibri" w:hAnsi="Calibri" w:cs="Calibri"/>
                <w:b/>
                <w:color w:val="000000" w:themeColor="text1"/>
                <w:sz w:val="16"/>
                <w:szCs w:val="22"/>
                <w:u w:val="single"/>
              </w:rPr>
              <w:t>Not Applicable</w:t>
            </w:r>
          </w:p>
        </w:tc>
        <w:tc>
          <w:tcPr>
            <w:tcW w:w="5598" w:type="dxa"/>
            <w:vAlign w:val="center"/>
          </w:tcPr>
          <w:p w14:paraId="7A2E6AF4" w14:textId="77777777" w:rsidR="000A3398" w:rsidRPr="009255D7" w:rsidRDefault="00B27F0E" w:rsidP="000A3398">
            <w:pPr>
              <w:jc w:val="center"/>
              <w:rPr>
                <w:rFonts w:ascii="Calibri" w:hAnsi="Calibri" w:cs="Calibri"/>
                <w:b/>
                <w:color w:val="000000" w:themeColor="text1"/>
                <w:sz w:val="22"/>
                <w:szCs w:val="22"/>
              </w:rPr>
            </w:pPr>
            <w:r w:rsidRPr="009255D7">
              <w:rPr>
                <w:rFonts w:ascii="Calibri" w:hAnsi="Calibri" w:cs="Calibri"/>
                <w:b/>
                <w:color w:val="000000" w:themeColor="text1"/>
                <w:sz w:val="22"/>
                <w:szCs w:val="22"/>
                <w:u w:val="single"/>
              </w:rPr>
              <w:t>Observations and notes</w:t>
            </w:r>
          </w:p>
        </w:tc>
      </w:tr>
    </w:tbl>
    <w:p w14:paraId="1FA68134" w14:textId="77777777" w:rsidR="00F8073D" w:rsidRPr="009255D7" w:rsidRDefault="00F8073D" w:rsidP="00C6096C">
      <w:pPr>
        <w:rPr>
          <w:rFonts w:ascii="Calibri" w:hAnsi="Calibri" w:cs="Calibri"/>
          <w:b/>
          <w:color w:val="000000" w:themeColor="text1"/>
          <w:sz w:val="22"/>
          <w:szCs w:val="22"/>
        </w:rPr>
      </w:pPr>
    </w:p>
    <w:tbl>
      <w:tblPr>
        <w:tblStyle w:val="TableGrid"/>
        <w:tblW w:w="11028" w:type="dxa"/>
        <w:tblLayout w:type="fixed"/>
        <w:tblLook w:val="04A0" w:firstRow="1" w:lastRow="0" w:firstColumn="1" w:lastColumn="0" w:noHBand="0" w:noVBand="1"/>
      </w:tblPr>
      <w:tblGrid>
        <w:gridCol w:w="4045"/>
        <w:gridCol w:w="1343"/>
        <w:gridCol w:w="5640"/>
      </w:tblGrid>
      <w:tr w:rsidR="009255D7" w:rsidRPr="009255D7" w14:paraId="020DD8C4" w14:textId="77777777" w:rsidTr="007F645A">
        <w:trPr>
          <w:cantSplit/>
        </w:trPr>
        <w:tc>
          <w:tcPr>
            <w:tcW w:w="11028" w:type="dxa"/>
            <w:gridSpan w:val="3"/>
            <w:shd w:val="clear" w:color="auto" w:fill="EAF1DD" w:themeFill="accent3" w:themeFillTint="33"/>
          </w:tcPr>
          <w:p w14:paraId="51B75A3E" w14:textId="25A7B38D" w:rsidR="0066090B" w:rsidRPr="009255D7" w:rsidRDefault="00F2269F" w:rsidP="00B71D13">
            <w:pPr>
              <w:pStyle w:val="BodyText2"/>
              <w:tabs>
                <w:tab w:val="center" w:pos="5406"/>
              </w:tabs>
              <w:spacing w:line="240" w:lineRule="auto"/>
              <w:rPr>
                <w:rFonts w:ascii="Calibri" w:hAnsi="Calibri" w:cs="Calibri"/>
                <w:color w:val="000000" w:themeColor="text1"/>
              </w:rPr>
            </w:pPr>
            <w:r w:rsidRPr="009255D7">
              <w:rPr>
                <w:rFonts w:ascii="Calibri" w:hAnsi="Calibri" w:cs="Calibri"/>
                <w:b/>
                <w:color w:val="000000" w:themeColor="text1"/>
                <w:sz w:val="32"/>
                <w:szCs w:val="32"/>
                <w:u w:val="single"/>
              </w:rPr>
              <w:t>Professional Teaching</w:t>
            </w:r>
          </w:p>
        </w:tc>
      </w:tr>
      <w:tr w:rsidR="009255D7" w:rsidRPr="009255D7" w14:paraId="688D1FBA" w14:textId="77777777" w:rsidTr="00F2269F">
        <w:trPr>
          <w:cantSplit/>
          <w:trHeight w:val="251"/>
        </w:trPr>
        <w:tc>
          <w:tcPr>
            <w:tcW w:w="4045" w:type="dxa"/>
          </w:tcPr>
          <w:p w14:paraId="68417B51" w14:textId="5A1FA4BF"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Starts and ends class on time.</w:t>
            </w:r>
          </w:p>
        </w:tc>
        <w:tc>
          <w:tcPr>
            <w:tcW w:w="1343" w:type="dxa"/>
          </w:tcPr>
          <w:p w14:paraId="3324C166" w14:textId="77777777" w:rsidR="00F2269F" w:rsidRPr="009255D7" w:rsidRDefault="00F2269F" w:rsidP="00F2269F">
            <w:pPr>
              <w:pStyle w:val="BodyText2"/>
              <w:spacing w:line="240" w:lineRule="auto"/>
              <w:rPr>
                <w:rFonts w:ascii="Calibri" w:hAnsi="Calibri" w:cs="Calibri"/>
                <w:color w:val="000000" w:themeColor="text1"/>
                <w:sz w:val="22"/>
                <w:szCs w:val="22"/>
              </w:rPr>
            </w:pPr>
          </w:p>
        </w:tc>
        <w:tc>
          <w:tcPr>
            <w:tcW w:w="5640" w:type="dxa"/>
          </w:tcPr>
          <w:p w14:paraId="241C30E9"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9255D7" w14:paraId="63832AFE" w14:textId="77777777" w:rsidTr="00F2269F">
        <w:trPr>
          <w:cantSplit/>
          <w:trHeight w:val="278"/>
        </w:trPr>
        <w:tc>
          <w:tcPr>
            <w:tcW w:w="4045" w:type="dxa"/>
          </w:tcPr>
          <w:p w14:paraId="71591E86" w14:textId="4FC6C188"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Has organized the material into an obvious, explicit, and logical framework.</w:t>
            </w:r>
            <w:r w:rsidR="001A610C" w:rsidRPr="009255D7">
              <w:rPr>
                <w:rFonts w:ascii="Calibri" w:hAnsi="Calibri" w:cs="Calibri"/>
                <w:color w:val="000000" w:themeColor="text1"/>
                <w:sz w:val="22"/>
                <w:szCs w:val="22"/>
              </w:rPr>
              <w:t xml:space="preserve"> </w:t>
            </w:r>
            <w:r w:rsidR="0035437F" w:rsidRPr="009255D7">
              <w:rPr>
                <w:rFonts w:ascii="Calibri" w:hAnsi="Calibri" w:cs="Calibri"/>
                <w:color w:val="000000" w:themeColor="text1"/>
                <w:sz w:val="22"/>
                <w:szCs w:val="22"/>
              </w:rPr>
              <w:t>[1]</w:t>
            </w:r>
          </w:p>
        </w:tc>
        <w:tc>
          <w:tcPr>
            <w:tcW w:w="1343" w:type="dxa"/>
          </w:tcPr>
          <w:p w14:paraId="02F4E468" w14:textId="77777777" w:rsidR="00F2269F" w:rsidRPr="009255D7" w:rsidRDefault="00F2269F" w:rsidP="00F2269F">
            <w:pPr>
              <w:pStyle w:val="BodyText2"/>
              <w:spacing w:line="240" w:lineRule="auto"/>
              <w:rPr>
                <w:rFonts w:ascii="Calibri" w:hAnsi="Calibri" w:cs="Calibri"/>
                <w:color w:val="000000" w:themeColor="text1"/>
                <w:sz w:val="22"/>
                <w:szCs w:val="22"/>
              </w:rPr>
            </w:pPr>
          </w:p>
        </w:tc>
        <w:tc>
          <w:tcPr>
            <w:tcW w:w="5640" w:type="dxa"/>
          </w:tcPr>
          <w:p w14:paraId="07EB28A6" w14:textId="77777777" w:rsidR="00F2269F" w:rsidRPr="009255D7" w:rsidRDefault="00F2269F" w:rsidP="00F2269F">
            <w:pPr>
              <w:rPr>
                <w:rFonts w:ascii="Calibri" w:hAnsi="Calibri" w:cs="Calibri"/>
                <w:color w:val="000000" w:themeColor="text1"/>
                <w:sz w:val="22"/>
                <w:szCs w:val="22"/>
              </w:rPr>
            </w:pPr>
          </w:p>
        </w:tc>
      </w:tr>
      <w:tr w:rsidR="009255D7" w:rsidRPr="009255D7" w14:paraId="3AA2F632" w14:textId="77777777" w:rsidTr="00F2269F">
        <w:trPr>
          <w:cantSplit/>
          <w:trHeight w:val="278"/>
        </w:trPr>
        <w:tc>
          <w:tcPr>
            <w:tcW w:w="4045" w:type="dxa"/>
          </w:tcPr>
          <w:p w14:paraId="69EF751E" w14:textId="26FE6302" w:rsidR="00F2269F" w:rsidRPr="009255D7" w:rsidRDefault="00F2269F" w:rsidP="001A610C">
            <w:pPr>
              <w:rPr>
                <w:rFonts w:ascii="Calibri" w:hAnsi="Calibri" w:cs="Calibri"/>
                <w:color w:val="000000" w:themeColor="text1"/>
                <w:sz w:val="22"/>
                <w:szCs w:val="22"/>
              </w:rPr>
            </w:pPr>
            <w:r w:rsidRPr="009255D7">
              <w:rPr>
                <w:rFonts w:ascii="Calibri" w:hAnsi="Calibri" w:cs="Calibri"/>
                <w:color w:val="000000" w:themeColor="text1"/>
                <w:sz w:val="22"/>
                <w:szCs w:val="22"/>
              </w:rPr>
              <w:t>Provides students with learning objectives for the class session.</w:t>
            </w:r>
            <w:r w:rsidR="001A610C" w:rsidRPr="009255D7">
              <w:rPr>
                <w:rFonts w:ascii="Calibri" w:hAnsi="Calibri" w:cs="Calibri"/>
                <w:color w:val="000000" w:themeColor="text1"/>
                <w:sz w:val="22"/>
                <w:szCs w:val="22"/>
              </w:rPr>
              <w:t xml:space="preserve"> </w:t>
            </w:r>
            <w:r w:rsidR="0035437F" w:rsidRPr="009255D7">
              <w:rPr>
                <w:rFonts w:ascii="Calibri" w:hAnsi="Calibri" w:cs="Calibri"/>
                <w:color w:val="000000" w:themeColor="text1"/>
                <w:sz w:val="22"/>
                <w:szCs w:val="22"/>
              </w:rPr>
              <w:t>[1] [2]</w:t>
            </w:r>
          </w:p>
        </w:tc>
        <w:tc>
          <w:tcPr>
            <w:tcW w:w="1343" w:type="dxa"/>
          </w:tcPr>
          <w:p w14:paraId="226D00DA" w14:textId="77777777" w:rsidR="00F2269F" w:rsidRPr="009255D7" w:rsidRDefault="00F2269F" w:rsidP="00F2269F">
            <w:pPr>
              <w:pStyle w:val="BodyText2"/>
              <w:spacing w:line="240" w:lineRule="auto"/>
              <w:rPr>
                <w:rFonts w:ascii="Calibri" w:hAnsi="Calibri" w:cs="Calibri"/>
                <w:color w:val="000000" w:themeColor="text1"/>
                <w:sz w:val="22"/>
                <w:szCs w:val="22"/>
              </w:rPr>
            </w:pPr>
          </w:p>
        </w:tc>
        <w:tc>
          <w:tcPr>
            <w:tcW w:w="5640" w:type="dxa"/>
          </w:tcPr>
          <w:p w14:paraId="4AC675D3" w14:textId="77777777" w:rsidR="00F2269F" w:rsidRPr="009255D7" w:rsidRDefault="00F2269F" w:rsidP="00F2269F">
            <w:pPr>
              <w:rPr>
                <w:rFonts w:ascii="Calibri" w:hAnsi="Calibri" w:cs="Calibri"/>
                <w:color w:val="000000" w:themeColor="text1"/>
                <w:sz w:val="22"/>
                <w:szCs w:val="22"/>
              </w:rPr>
            </w:pPr>
          </w:p>
        </w:tc>
      </w:tr>
      <w:tr w:rsidR="009255D7" w:rsidRPr="009255D7" w14:paraId="3320D007" w14:textId="77777777" w:rsidTr="00F2269F">
        <w:trPr>
          <w:cantSplit/>
          <w:trHeight w:val="278"/>
        </w:trPr>
        <w:tc>
          <w:tcPr>
            <w:tcW w:w="4045" w:type="dxa"/>
          </w:tcPr>
          <w:p w14:paraId="69E9F268" w14:textId="29F0516A"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Gives lesson outline at the beginning of class, verbally and visually (e.g., on board, slide, handout).</w:t>
            </w:r>
            <w:r w:rsidR="001A610C" w:rsidRPr="009255D7">
              <w:rPr>
                <w:rFonts w:ascii="Calibri" w:hAnsi="Calibri" w:cs="Calibri"/>
                <w:color w:val="000000" w:themeColor="text1"/>
                <w:sz w:val="22"/>
                <w:szCs w:val="22"/>
              </w:rPr>
              <w:t xml:space="preserve"> </w:t>
            </w:r>
            <w:r w:rsidR="0035437F" w:rsidRPr="009255D7">
              <w:rPr>
                <w:rFonts w:ascii="Calibri" w:hAnsi="Calibri" w:cs="Calibri"/>
                <w:color w:val="000000" w:themeColor="text1"/>
                <w:sz w:val="22"/>
                <w:szCs w:val="22"/>
              </w:rPr>
              <w:t>[1]</w:t>
            </w:r>
          </w:p>
        </w:tc>
        <w:tc>
          <w:tcPr>
            <w:tcW w:w="1343" w:type="dxa"/>
          </w:tcPr>
          <w:p w14:paraId="4F055D84" w14:textId="77777777" w:rsidR="00F2269F" w:rsidRPr="009255D7" w:rsidRDefault="00F2269F" w:rsidP="00F2269F">
            <w:pPr>
              <w:pStyle w:val="BodyText2"/>
              <w:spacing w:line="240" w:lineRule="auto"/>
              <w:rPr>
                <w:rFonts w:ascii="Calibri" w:hAnsi="Calibri" w:cs="Calibri"/>
                <w:color w:val="000000" w:themeColor="text1"/>
                <w:sz w:val="22"/>
                <w:szCs w:val="22"/>
              </w:rPr>
            </w:pPr>
          </w:p>
        </w:tc>
        <w:tc>
          <w:tcPr>
            <w:tcW w:w="5640" w:type="dxa"/>
          </w:tcPr>
          <w:p w14:paraId="1BE173B6" w14:textId="77777777" w:rsidR="00F2269F" w:rsidRPr="009255D7" w:rsidRDefault="00F2269F" w:rsidP="00F2269F">
            <w:pPr>
              <w:rPr>
                <w:rFonts w:ascii="Calibri" w:hAnsi="Calibri" w:cs="Calibri"/>
                <w:color w:val="000000" w:themeColor="text1"/>
                <w:sz w:val="22"/>
                <w:szCs w:val="22"/>
              </w:rPr>
            </w:pPr>
          </w:p>
        </w:tc>
      </w:tr>
      <w:tr w:rsidR="009255D7" w:rsidRPr="009255D7" w14:paraId="211F9E49" w14:textId="77777777" w:rsidTr="00F2269F">
        <w:trPr>
          <w:cantSplit/>
          <w:trHeight w:val="278"/>
        </w:trPr>
        <w:tc>
          <w:tcPr>
            <w:tcW w:w="4045" w:type="dxa"/>
          </w:tcPr>
          <w:p w14:paraId="56032F13" w14:textId="7CE71B6E"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Employs audio and/or visual media (PowerPoint, writing on board/doc cam, handouts, videos) effective for learning (readable, not too much text, etc.) and uses media skillfully.</w:t>
            </w:r>
            <w:r w:rsidR="001A610C" w:rsidRPr="009255D7">
              <w:rPr>
                <w:rFonts w:ascii="Calibri" w:hAnsi="Calibri" w:cs="Calibri"/>
                <w:color w:val="000000" w:themeColor="text1"/>
                <w:sz w:val="22"/>
                <w:szCs w:val="22"/>
              </w:rPr>
              <w:t xml:space="preserve"> </w:t>
            </w:r>
            <w:r w:rsidR="0035437F" w:rsidRPr="009255D7">
              <w:rPr>
                <w:rFonts w:ascii="Calibri" w:hAnsi="Calibri" w:cs="Calibri"/>
                <w:color w:val="000000" w:themeColor="text1"/>
                <w:sz w:val="22"/>
                <w:szCs w:val="22"/>
              </w:rPr>
              <w:t>[3]</w:t>
            </w:r>
          </w:p>
        </w:tc>
        <w:tc>
          <w:tcPr>
            <w:tcW w:w="1343" w:type="dxa"/>
          </w:tcPr>
          <w:p w14:paraId="5331DD91" w14:textId="77777777" w:rsidR="00F2269F" w:rsidRPr="009255D7" w:rsidRDefault="00F2269F" w:rsidP="00F2269F">
            <w:pPr>
              <w:pStyle w:val="BodyText2"/>
              <w:spacing w:line="240" w:lineRule="auto"/>
              <w:rPr>
                <w:rFonts w:ascii="Calibri" w:hAnsi="Calibri" w:cs="Calibri"/>
                <w:color w:val="000000" w:themeColor="text1"/>
                <w:sz w:val="22"/>
                <w:szCs w:val="22"/>
              </w:rPr>
            </w:pPr>
          </w:p>
        </w:tc>
        <w:tc>
          <w:tcPr>
            <w:tcW w:w="5640" w:type="dxa"/>
          </w:tcPr>
          <w:p w14:paraId="3B0DF292" w14:textId="77777777" w:rsidR="00F2269F" w:rsidRPr="009255D7" w:rsidRDefault="00F2269F" w:rsidP="00F2269F">
            <w:pPr>
              <w:rPr>
                <w:rFonts w:ascii="Calibri" w:hAnsi="Calibri" w:cs="Calibri"/>
                <w:color w:val="000000" w:themeColor="text1"/>
                <w:sz w:val="22"/>
                <w:szCs w:val="22"/>
              </w:rPr>
            </w:pPr>
          </w:p>
        </w:tc>
      </w:tr>
      <w:tr w:rsidR="009255D7" w:rsidRPr="009255D7" w14:paraId="0D3102CC" w14:textId="77777777" w:rsidTr="00F2269F">
        <w:trPr>
          <w:cantSplit/>
        </w:trPr>
        <w:tc>
          <w:tcPr>
            <w:tcW w:w="4045" w:type="dxa"/>
          </w:tcPr>
          <w:p w14:paraId="09070E8C" w14:textId="73A099A1"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Employs methods (activities, examples, audio-visual aids) broken down into steps to scaffold student learning.</w:t>
            </w:r>
            <w:r w:rsidR="001A610C" w:rsidRPr="009255D7">
              <w:rPr>
                <w:rFonts w:ascii="Calibri" w:hAnsi="Calibri" w:cs="Calibri"/>
                <w:color w:val="000000" w:themeColor="text1"/>
                <w:sz w:val="22"/>
                <w:szCs w:val="22"/>
              </w:rPr>
              <w:t xml:space="preserve"> </w:t>
            </w:r>
            <w:r w:rsidR="00643530" w:rsidRPr="009255D7">
              <w:rPr>
                <w:rFonts w:ascii="Calibri" w:hAnsi="Calibri" w:cs="Calibri"/>
                <w:color w:val="000000" w:themeColor="text1"/>
                <w:sz w:val="22"/>
                <w:szCs w:val="22"/>
              </w:rPr>
              <w:t>[2]</w:t>
            </w:r>
          </w:p>
        </w:tc>
        <w:tc>
          <w:tcPr>
            <w:tcW w:w="1343" w:type="dxa"/>
          </w:tcPr>
          <w:p w14:paraId="6EC5BA84" w14:textId="77777777" w:rsidR="00F2269F" w:rsidRPr="009255D7" w:rsidRDefault="00F2269F" w:rsidP="00F2269F">
            <w:pPr>
              <w:pStyle w:val="BodyText2"/>
              <w:spacing w:line="240" w:lineRule="auto"/>
              <w:rPr>
                <w:rFonts w:ascii="Calibri" w:hAnsi="Calibri" w:cs="Calibri"/>
                <w:color w:val="000000" w:themeColor="text1"/>
                <w:sz w:val="22"/>
                <w:szCs w:val="22"/>
              </w:rPr>
            </w:pPr>
          </w:p>
        </w:tc>
        <w:tc>
          <w:tcPr>
            <w:tcW w:w="5640" w:type="dxa"/>
          </w:tcPr>
          <w:p w14:paraId="1B4D6427" w14:textId="77777777" w:rsidR="00F2269F" w:rsidRPr="009255D7" w:rsidRDefault="00F2269F" w:rsidP="00F2269F">
            <w:pPr>
              <w:pStyle w:val="BodyText2"/>
              <w:spacing w:line="240" w:lineRule="auto"/>
              <w:rPr>
                <w:rFonts w:ascii="Calibri" w:hAnsi="Calibri" w:cs="Calibri"/>
                <w:color w:val="000000" w:themeColor="text1"/>
                <w:sz w:val="22"/>
                <w:szCs w:val="22"/>
              </w:rPr>
            </w:pPr>
          </w:p>
          <w:p w14:paraId="329159DB" w14:textId="0B00085C" w:rsidR="00F2269F" w:rsidRPr="009255D7" w:rsidRDefault="00F2269F" w:rsidP="00F2269F">
            <w:pPr>
              <w:pStyle w:val="BodyText2"/>
              <w:spacing w:line="240" w:lineRule="auto"/>
              <w:rPr>
                <w:rFonts w:ascii="Calibri" w:hAnsi="Calibri" w:cs="Calibri"/>
                <w:color w:val="000000" w:themeColor="text1"/>
                <w:sz w:val="22"/>
                <w:szCs w:val="22"/>
              </w:rPr>
            </w:pPr>
          </w:p>
        </w:tc>
      </w:tr>
      <w:tr w:rsidR="0035437F" w:rsidRPr="009255D7" w14:paraId="4E3C8266" w14:textId="77777777" w:rsidTr="00F2269F">
        <w:trPr>
          <w:cantSplit/>
        </w:trPr>
        <w:tc>
          <w:tcPr>
            <w:tcW w:w="4045" w:type="dxa"/>
          </w:tcPr>
          <w:p w14:paraId="7AB1E82B" w14:textId="2D85B8CF" w:rsidR="0035437F" w:rsidRPr="009255D7" w:rsidRDefault="0035437F" w:rsidP="0035437F">
            <w:pPr>
              <w:rPr>
                <w:rFonts w:ascii="Calibri" w:hAnsi="Calibri" w:cs="Calibri"/>
                <w:color w:val="000000" w:themeColor="text1"/>
                <w:sz w:val="22"/>
                <w:szCs w:val="22"/>
              </w:rPr>
            </w:pPr>
            <w:r w:rsidRPr="009255D7">
              <w:rPr>
                <w:rFonts w:ascii="Calibri" w:hAnsi="Calibri" w:cs="Calibri"/>
                <w:color w:val="000000" w:themeColor="text1"/>
                <w:sz w:val="22"/>
                <w:szCs w:val="22"/>
              </w:rPr>
              <w:t>Is relaxed, in command of session, and willing to engage with students.</w:t>
            </w:r>
            <w:r w:rsidR="001A610C" w:rsidRPr="009255D7">
              <w:rPr>
                <w:rFonts w:ascii="Calibri" w:hAnsi="Calibri" w:cs="Calibri"/>
                <w:color w:val="000000" w:themeColor="text1"/>
                <w:sz w:val="22"/>
                <w:szCs w:val="22"/>
              </w:rPr>
              <w:t xml:space="preserve"> </w:t>
            </w:r>
            <w:r w:rsidRPr="009255D7">
              <w:rPr>
                <w:rFonts w:ascii="Calibri" w:hAnsi="Calibri" w:cs="Calibri"/>
                <w:color w:val="000000" w:themeColor="text1"/>
                <w:sz w:val="22"/>
                <w:szCs w:val="22"/>
              </w:rPr>
              <w:t>[</w:t>
            </w:r>
            <w:r w:rsidR="00643530" w:rsidRPr="009255D7">
              <w:rPr>
                <w:rFonts w:ascii="Calibri" w:hAnsi="Calibri" w:cs="Calibri"/>
                <w:color w:val="000000" w:themeColor="text1"/>
                <w:sz w:val="22"/>
                <w:szCs w:val="22"/>
              </w:rPr>
              <w:t>4</w:t>
            </w:r>
            <w:r w:rsidRPr="009255D7">
              <w:rPr>
                <w:rFonts w:ascii="Calibri" w:hAnsi="Calibri" w:cs="Calibri"/>
                <w:color w:val="000000" w:themeColor="text1"/>
                <w:sz w:val="22"/>
                <w:szCs w:val="22"/>
              </w:rPr>
              <w:t>]</w:t>
            </w:r>
          </w:p>
        </w:tc>
        <w:tc>
          <w:tcPr>
            <w:tcW w:w="1343" w:type="dxa"/>
          </w:tcPr>
          <w:p w14:paraId="1624C358" w14:textId="77777777" w:rsidR="0035437F" w:rsidRPr="009255D7" w:rsidRDefault="0035437F" w:rsidP="0035437F">
            <w:pPr>
              <w:pStyle w:val="BodyText2"/>
              <w:spacing w:line="240" w:lineRule="auto"/>
              <w:rPr>
                <w:rFonts w:ascii="Calibri" w:hAnsi="Calibri" w:cs="Calibri"/>
                <w:color w:val="000000" w:themeColor="text1"/>
                <w:sz w:val="22"/>
                <w:szCs w:val="22"/>
              </w:rPr>
            </w:pPr>
          </w:p>
        </w:tc>
        <w:tc>
          <w:tcPr>
            <w:tcW w:w="5640" w:type="dxa"/>
          </w:tcPr>
          <w:p w14:paraId="1B66B50D"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12E39833" w14:textId="77777777" w:rsidTr="00F2269F">
        <w:trPr>
          <w:cantSplit/>
        </w:trPr>
        <w:tc>
          <w:tcPr>
            <w:tcW w:w="4045" w:type="dxa"/>
          </w:tcPr>
          <w:p w14:paraId="1ECC16E7" w14:textId="611A29CF" w:rsidR="0035437F" w:rsidRPr="009255D7" w:rsidRDefault="0035437F" w:rsidP="0035437F">
            <w:pPr>
              <w:rPr>
                <w:rFonts w:ascii="Calibri" w:hAnsi="Calibri" w:cs="Calibri"/>
                <w:color w:val="000000" w:themeColor="text1"/>
                <w:sz w:val="22"/>
                <w:szCs w:val="22"/>
              </w:rPr>
            </w:pPr>
            <w:r w:rsidRPr="009255D7">
              <w:rPr>
                <w:rFonts w:ascii="Calibri" w:hAnsi="Calibri" w:cs="Calibri"/>
                <w:color w:val="000000" w:themeColor="text1"/>
                <w:sz w:val="22"/>
                <w:szCs w:val="22"/>
              </w:rPr>
              <w:t>Pauses to ask for student questions or clarifications.</w:t>
            </w:r>
          </w:p>
        </w:tc>
        <w:tc>
          <w:tcPr>
            <w:tcW w:w="1343" w:type="dxa"/>
          </w:tcPr>
          <w:p w14:paraId="16975E75" w14:textId="77777777" w:rsidR="0035437F" w:rsidRPr="009255D7" w:rsidRDefault="0035437F" w:rsidP="0035437F">
            <w:pPr>
              <w:pStyle w:val="BodyText2"/>
              <w:spacing w:line="240" w:lineRule="auto"/>
              <w:rPr>
                <w:rFonts w:ascii="Calibri" w:hAnsi="Calibri" w:cs="Calibri"/>
                <w:color w:val="000000" w:themeColor="text1"/>
                <w:sz w:val="22"/>
                <w:szCs w:val="22"/>
              </w:rPr>
            </w:pPr>
          </w:p>
        </w:tc>
        <w:tc>
          <w:tcPr>
            <w:tcW w:w="5640" w:type="dxa"/>
          </w:tcPr>
          <w:p w14:paraId="480F6D5E"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35437F" w:rsidRPr="009255D7" w14:paraId="12DE27F3" w14:textId="77777777" w:rsidTr="00F2269F">
        <w:trPr>
          <w:cantSplit/>
        </w:trPr>
        <w:tc>
          <w:tcPr>
            <w:tcW w:w="4045" w:type="dxa"/>
          </w:tcPr>
          <w:p w14:paraId="337832DB" w14:textId="5598BB64" w:rsidR="0035437F" w:rsidRPr="009255D7" w:rsidRDefault="0035437F" w:rsidP="0035437F">
            <w:pPr>
              <w:rPr>
                <w:rFonts w:ascii="Calibri" w:hAnsi="Calibri" w:cs="Calibri"/>
                <w:color w:val="000000" w:themeColor="text1"/>
                <w:sz w:val="22"/>
                <w:szCs w:val="22"/>
              </w:rPr>
            </w:pPr>
            <w:r w:rsidRPr="009255D7">
              <w:rPr>
                <w:rFonts w:ascii="Calibri" w:hAnsi="Calibri" w:cs="Calibri"/>
                <w:color w:val="000000" w:themeColor="text1"/>
                <w:sz w:val="22"/>
                <w:szCs w:val="22"/>
              </w:rPr>
              <w:t>Is aware of raised hands.</w:t>
            </w:r>
          </w:p>
        </w:tc>
        <w:tc>
          <w:tcPr>
            <w:tcW w:w="1343" w:type="dxa"/>
          </w:tcPr>
          <w:p w14:paraId="2543D985" w14:textId="77777777" w:rsidR="0035437F" w:rsidRPr="009255D7" w:rsidRDefault="0035437F" w:rsidP="0035437F">
            <w:pPr>
              <w:pStyle w:val="BodyText2"/>
              <w:spacing w:line="240" w:lineRule="auto"/>
              <w:rPr>
                <w:rFonts w:ascii="Calibri" w:hAnsi="Calibri" w:cs="Calibri"/>
                <w:color w:val="000000" w:themeColor="text1"/>
                <w:sz w:val="22"/>
                <w:szCs w:val="22"/>
              </w:rPr>
            </w:pPr>
          </w:p>
        </w:tc>
        <w:tc>
          <w:tcPr>
            <w:tcW w:w="5640" w:type="dxa"/>
          </w:tcPr>
          <w:p w14:paraId="36FC949D"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35437F" w:rsidRPr="009255D7" w14:paraId="652767A2" w14:textId="77777777" w:rsidTr="00F2269F">
        <w:trPr>
          <w:cantSplit/>
        </w:trPr>
        <w:tc>
          <w:tcPr>
            <w:tcW w:w="4045" w:type="dxa"/>
          </w:tcPr>
          <w:p w14:paraId="00577F56" w14:textId="62C9F182" w:rsidR="0035437F" w:rsidRPr="009255D7" w:rsidRDefault="0035437F" w:rsidP="0035437F">
            <w:pPr>
              <w:rPr>
                <w:rFonts w:ascii="Calibri" w:hAnsi="Calibri" w:cs="Calibri"/>
                <w:color w:val="000000" w:themeColor="text1"/>
                <w:sz w:val="22"/>
                <w:szCs w:val="22"/>
              </w:rPr>
            </w:pPr>
            <w:r w:rsidRPr="009255D7">
              <w:rPr>
                <w:rFonts w:ascii="Calibri" w:hAnsi="Calibri" w:cs="Calibri"/>
                <w:color w:val="000000" w:themeColor="text1"/>
                <w:sz w:val="22"/>
                <w:szCs w:val="22"/>
              </w:rPr>
              <w:lastRenderedPageBreak/>
              <w:t>Checks or is aware when students are lost, hurried, etc.</w:t>
            </w:r>
          </w:p>
        </w:tc>
        <w:tc>
          <w:tcPr>
            <w:tcW w:w="1343" w:type="dxa"/>
          </w:tcPr>
          <w:p w14:paraId="37BCBA78" w14:textId="77777777" w:rsidR="0035437F" w:rsidRPr="009255D7" w:rsidRDefault="0035437F" w:rsidP="0035437F">
            <w:pPr>
              <w:pStyle w:val="BodyText2"/>
              <w:spacing w:line="240" w:lineRule="auto"/>
              <w:rPr>
                <w:rFonts w:ascii="Calibri" w:hAnsi="Calibri" w:cs="Calibri"/>
                <w:color w:val="000000" w:themeColor="text1"/>
                <w:sz w:val="22"/>
                <w:szCs w:val="22"/>
              </w:rPr>
            </w:pPr>
          </w:p>
        </w:tc>
        <w:tc>
          <w:tcPr>
            <w:tcW w:w="5640" w:type="dxa"/>
          </w:tcPr>
          <w:p w14:paraId="5E4A5839"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405997C8" w14:textId="77777777" w:rsidTr="00F2269F">
        <w:trPr>
          <w:cantSplit/>
        </w:trPr>
        <w:tc>
          <w:tcPr>
            <w:tcW w:w="4045" w:type="dxa"/>
          </w:tcPr>
          <w:p w14:paraId="2C451697" w14:textId="707BBDFD" w:rsidR="0035437F" w:rsidRPr="009255D7" w:rsidRDefault="0035437F" w:rsidP="0035437F">
            <w:pPr>
              <w:rPr>
                <w:rFonts w:ascii="Calibri" w:hAnsi="Calibri" w:cs="Calibri"/>
                <w:color w:val="000000" w:themeColor="text1"/>
                <w:sz w:val="22"/>
                <w:szCs w:val="22"/>
              </w:rPr>
            </w:pPr>
            <w:r w:rsidRPr="009255D7">
              <w:rPr>
                <w:rFonts w:ascii="Calibri" w:hAnsi="Calibri" w:cs="Calibri"/>
                <w:color w:val="000000" w:themeColor="text1"/>
                <w:sz w:val="22"/>
                <w:szCs w:val="22"/>
              </w:rPr>
              <w:t>Ensures that all in the classroom can hear questions and comments.</w:t>
            </w:r>
          </w:p>
        </w:tc>
        <w:tc>
          <w:tcPr>
            <w:tcW w:w="1343" w:type="dxa"/>
          </w:tcPr>
          <w:p w14:paraId="71806775" w14:textId="77777777" w:rsidR="0035437F" w:rsidRPr="009255D7" w:rsidRDefault="0035437F" w:rsidP="0035437F">
            <w:pPr>
              <w:pStyle w:val="BodyText2"/>
              <w:spacing w:line="240" w:lineRule="auto"/>
              <w:rPr>
                <w:rFonts w:ascii="Calibri" w:hAnsi="Calibri" w:cs="Calibri"/>
                <w:color w:val="000000" w:themeColor="text1"/>
                <w:sz w:val="22"/>
                <w:szCs w:val="22"/>
              </w:rPr>
            </w:pPr>
          </w:p>
        </w:tc>
        <w:tc>
          <w:tcPr>
            <w:tcW w:w="5640" w:type="dxa"/>
          </w:tcPr>
          <w:p w14:paraId="660DF414"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35437F" w:rsidRPr="009255D7" w14:paraId="444B958C" w14:textId="77777777" w:rsidTr="00F2269F">
        <w:trPr>
          <w:cantSplit/>
        </w:trPr>
        <w:tc>
          <w:tcPr>
            <w:tcW w:w="4045" w:type="dxa"/>
          </w:tcPr>
          <w:p w14:paraId="255848E8" w14:textId="19E173E2" w:rsidR="0035437F" w:rsidRPr="009255D7" w:rsidRDefault="0035437F" w:rsidP="0035437F">
            <w:pPr>
              <w:rPr>
                <w:rFonts w:ascii="Calibri" w:hAnsi="Calibri" w:cs="Calibri"/>
                <w:color w:val="000000" w:themeColor="text1"/>
                <w:sz w:val="22"/>
                <w:szCs w:val="22"/>
              </w:rPr>
            </w:pPr>
            <w:r w:rsidRPr="009255D7">
              <w:rPr>
                <w:rFonts w:ascii="Calibri" w:hAnsi="Calibri" w:cs="Calibri"/>
                <w:color w:val="000000" w:themeColor="text1"/>
                <w:sz w:val="22"/>
                <w:szCs w:val="22"/>
              </w:rPr>
              <w:t>Provides adequate time for completion of in-class activities.</w:t>
            </w:r>
          </w:p>
        </w:tc>
        <w:tc>
          <w:tcPr>
            <w:tcW w:w="1343" w:type="dxa"/>
          </w:tcPr>
          <w:p w14:paraId="46F1B363" w14:textId="77777777" w:rsidR="0035437F" w:rsidRPr="009255D7" w:rsidRDefault="0035437F" w:rsidP="0035437F">
            <w:pPr>
              <w:pStyle w:val="BodyText2"/>
              <w:spacing w:line="240" w:lineRule="auto"/>
              <w:rPr>
                <w:rFonts w:ascii="Calibri" w:hAnsi="Calibri" w:cs="Calibri"/>
                <w:color w:val="000000" w:themeColor="text1"/>
                <w:sz w:val="22"/>
                <w:szCs w:val="22"/>
              </w:rPr>
            </w:pPr>
          </w:p>
        </w:tc>
        <w:tc>
          <w:tcPr>
            <w:tcW w:w="5640" w:type="dxa"/>
          </w:tcPr>
          <w:p w14:paraId="417BC544"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bl>
    <w:p w14:paraId="48209871" w14:textId="77777777" w:rsidR="00B27F0E" w:rsidRPr="009255D7" w:rsidRDefault="00B27F0E">
      <w:pPr>
        <w:rPr>
          <w:color w:val="000000" w:themeColor="text1"/>
        </w:rPr>
      </w:pPr>
    </w:p>
    <w:tbl>
      <w:tblPr>
        <w:tblStyle w:val="TableGrid"/>
        <w:tblW w:w="11028" w:type="dxa"/>
        <w:tblLayout w:type="fixed"/>
        <w:tblLook w:val="04A0" w:firstRow="1" w:lastRow="0" w:firstColumn="1" w:lastColumn="0" w:noHBand="0" w:noVBand="1"/>
      </w:tblPr>
      <w:tblGrid>
        <w:gridCol w:w="4068"/>
        <w:gridCol w:w="1320"/>
        <w:gridCol w:w="5640"/>
      </w:tblGrid>
      <w:tr w:rsidR="009255D7" w:rsidRPr="009255D7" w14:paraId="790A4D4F" w14:textId="77777777" w:rsidTr="007F645A">
        <w:trPr>
          <w:cantSplit/>
        </w:trPr>
        <w:tc>
          <w:tcPr>
            <w:tcW w:w="11028" w:type="dxa"/>
            <w:gridSpan w:val="3"/>
            <w:shd w:val="clear" w:color="auto" w:fill="EAF1DD" w:themeFill="accent3" w:themeFillTint="33"/>
          </w:tcPr>
          <w:p w14:paraId="2584F727" w14:textId="2B820B1B" w:rsidR="00AB3F50" w:rsidRPr="009255D7" w:rsidRDefault="00F2269F" w:rsidP="007220E2">
            <w:pPr>
              <w:pStyle w:val="BodyText2"/>
              <w:spacing w:line="240" w:lineRule="auto"/>
              <w:rPr>
                <w:rFonts w:ascii="Calibri" w:hAnsi="Calibri" w:cs="Calibri"/>
                <w:color w:val="000000" w:themeColor="text1"/>
                <w:sz w:val="32"/>
                <w:szCs w:val="32"/>
              </w:rPr>
            </w:pPr>
            <w:r w:rsidRPr="009255D7">
              <w:rPr>
                <w:rFonts w:ascii="Calibri" w:hAnsi="Calibri" w:cs="Calibri"/>
                <w:b/>
                <w:color w:val="000000" w:themeColor="text1"/>
                <w:sz w:val="32"/>
                <w:szCs w:val="32"/>
                <w:u w:val="single"/>
              </w:rPr>
              <w:t>Inclusive teaching</w:t>
            </w:r>
          </w:p>
        </w:tc>
      </w:tr>
      <w:tr w:rsidR="009255D7" w:rsidRPr="009255D7" w14:paraId="6F75A822" w14:textId="77777777" w:rsidTr="009443A6">
        <w:trPr>
          <w:cantSplit/>
          <w:trHeight w:val="20"/>
        </w:trPr>
        <w:tc>
          <w:tcPr>
            <w:tcW w:w="4068" w:type="dxa"/>
          </w:tcPr>
          <w:p w14:paraId="1B44CE1B" w14:textId="697AB1D8" w:rsidR="00F2269F" w:rsidRPr="009255D7" w:rsidRDefault="00F2269F" w:rsidP="00F2269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Uses student names or makes attempts to learn them.</w:t>
            </w:r>
            <w:r w:rsidR="001A610C" w:rsidRPr="009255D7">
              <w:rPr>
                <w:rFonts w:ascii="Calibri" w:hAnsi="Calibri" w:cs="Calibri"/>
                <w:color w:val="000000" w:themeColor="text1"/>
                <w:sz w:val="22"/>
                <w:szCs w:val="22"/>
              </w:rPr>
              <w:t xml:space="preserve"> [4]</w:t>
            </w:r>
          </w:p>
        </w:tc>
        <w:tc>
          <w:tcPr>
            <w:tcW w:w="1320" w:type="dxa"/>
          </w:tcPr>
          <w:p w14:paraId="39A3A5C5" w14:textId="77777777" w:rsidR="00F2269F" w:rsidRPr="009255D7" w:rsidRDefault="00F2269F" w:rsidP="00F2269F">
            <w:pPr>
              <w:rPr>
                <w:rFonts w:ascii="Calibri" w:hAnsi="Calibri" w:cs="Calibri"/>
                <w:color w:val="000000" w:themeColor="text1"/>
                <w:sz w:val="22"/>
                <w:szCs w:val="22"/>
              </w:rPr>
            </w:pPr>
          </w:p>
        </w:tc>
        <w:tc>
          <w:tcPr>
            <w:tcW w:w="5640" w:type="dxa"/>
          </w:tcPr>
          <w:p w14:paraId="561B46BD"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35437F" w:rsidRPr="009255D7" w14:paraId="4F88622F" w14:textId="77777777" w:rsidTr="009443A6">
        <w:trPr>
          <w:cantSplit/>
          <w:trHeight w:val="20"/>
        </w:trPr>
        <w:tc>
          <w:tcPr>
            <w:tcW w:w="4068" w:type="dxa"/>
          </w:tcPr>
          <w:p w14:paraId="482B4076" w14:textId="0FC281C3"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Seems interested in material and the students.</w:t>
            </w:r>
          </w:p>
        </w:tc>
        <w:tc>
          <w:tcPr>
            <w:tcW w:w="1320" w:type="dxa"/>
          </w:tcPr>
          <w:p w14:paraId="3E54DA64" w14:textId="77777777" w:rsidR="0035437F" w:rsidRPr="009255D7" w:rsidRDefault="0035437F" w:rsidP="0035437F">
            <w:pPr>
              <w:rPr>
                <w:rFonts w:ascii="Calibri" w:hAnsi="Calibri" w:cs="Calibri"/>
                <w:color w:val="000000" w:themeColor="text1"/>
                <w:sz w:val="22"/>
                <w:szCs w:val="22"/>
              </w:rPr>
            </w:pPr>
          </w:p>
        </w:tc>
        <w:tc>
          <w:tcPr>
            <w:tcW w:w="5640" w:type="dxa"/>
          </w:tcPr>
          <w:p w14:paraId="584AFAE7"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59BFE84C" w14:textId="77777777" w:rsidTr="009443A6">
        <w:trPr>
          <w:cantSplit/>
          <w:trHeight w:val="20"/>
        </w:trPr>
        <w:tc>
          <w:tcPr>
            <w:tcW w:w="4068" w:type="dxa"/>
          </w:tcPr>
          <w:p w14:paraId="28485848" w14:textId="0BFF98B6"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Uses respectful and inclusive language and works to ensure a respectful and open learning community</w:t>
            </w:r>
            <w:r w:rsidR="001A610C" w:rsidRPr="009255D7">
              <w:rPr>
                <w:rFonts w:ascii="Calibri" w:hAnsi="Calibri" w:cs="Calibri"/>
                <w:color w:val="000000" w:themeColor="text1"/>
                <w:sz w:val="22"/>
                <w:szCs w:val="22"/>
              </w:rPr>
              <w:t>. [3]</w:t>
            </w:r>
          </w:p>
        </w:tc>
        <w:tc>
          <w:tcPr>
            <w:tcW w:w="1320" w:type="dxa"/>
          </w:tcPr>
          <w:p w14:paraId="7A6F8EE1" w14:textId="77777777" w:rsidR="0035437F" w:rsidRPr="009255D7" w:rsidRDefault="0035437F" w:rsidP="0035437F">
            <w:pPr>
              <w:rPr>
                <w:rFonts w:ascii="Calibri" w:hAnsi="Calibri" w:cs="Calibri"/>
                <w:color w:val="000000" w:themeColor="text1"/>
                <w:sz w:val="22"/>
                <w:szCs w:val="22"/>
              </w:rPr>
            </w:pPr>
          </w:p>
        </w:tc>
        <w:tc>
          <w:tcPr>
            <w:tcW w:w="5640" w:type="dxa"/>
          </w:tcPr>
          <w:p w14:paraId="24C94DF1"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7E546DF0" w14:textId="77777777" w:rsidTr="009443A6">
        <w:trPr>
          <w:cantSplit/>
          <w:trHeight w:val="20"/>
        </w:trPr>
        <w:tc>
          <w:tcPr>
            <w:tcW w:w="4068" w:type="dxa"/>
          </w:tcPr>
          <w:p w14:paraId="60801D96" w14:textId="022145E4"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Has designed the class session to be accessible and welcoming to all (e.g. pictures show a variety of races, ethnicities, and genders; names used in problems are not ethnocentric).</w:t>
            </w:r>
            <w:r w:rsidR="001A610C" w:rsidRPr="009255D7">
              <w:rPr>
                <w:rFonts w:ascii="Calibri" w:hAnsi="Calibri" w:cs="Calibri"/>
                <w:color w:val="000000" w:themeColor="text1"/>
                <w:sz w:val="22"/>
                <w:szCs w:val="22"/>
              </w:rPr>
              <w:t xml:space="preserve"> [3] [5] [6]</w:t>
            </w:r>
          </w:p>
        </w:tc>
        <w:tc>
          <w:tcPr>
            <w:tcW w:w="1320" w:type="dxa"/>
          </w:tcPr>
          <w:p w14:paraId="2DFBFE00" w14:textId="77777777" w:rsidR="0035437F" w:rsidRPr="009255D7" w:rsidRDefault="0035437F" w:rsidP="0035437F">
            <w:pPr>
              <w:rPr>
                <w:rFonts w:ascii="Calibri" w:hAnsi="Calibri" w:cs="Calibri"/>
                <w:color w:val="000000" w:themeColor="text1"/>
                <w:sz w:val="22"/>
                <w:szCs w:val="22"/>
              </w:rPr>
            </w:pPr>
          </w:p>
        </w:tc>
        <w:tc>
          <w:tcPr>
            <w:tcW w:w="5640" w:type="dxa"/>
          </w:tcPr>
          <w:p w14:paraId="374C1F2A"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0FD864F7" w14:textId="77777777" w:rsidTr="009443A6">
        <w:trPr>
          <w:cantSplit/>
          <w:trHeight w:val="20"/>
        </w:trPr>
        <w:tc>
          <w:tcPr>
            <w:tcW w:w="4068" w:type="dxa"/>
          </w:tcPr>
          <w:p w14:paraId="1A6C80CA" w14:textId="108AC33F"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Encourages and facilitates dialogue, discussion, and student-student interaction for all students (e.g. helps people find partners, structures activities to promote equal participation).</w:t>
            </w:r>
            <w:r w:rsidR="001A610C" w:rsidRPr="009255D7">
              <w:rPr>
                <w:rFonts w:ascii="Calibri" w:hAnsi="Calibri" w:cs="Calibri"/>
                <w:color w:val="000000" w:themeColor="text1"/>
                <w:sz w:val="22"/>
                <w:szCs w:val="22"/>
              </w:rPr>
              <w:t xml:space="preserve"> [3] [7] [8] </w:t>
            </w:r>
          </w:p>
        </w:tc>
        <w:tc>
          <w:tcPr>
            <w:tcW w:w="1320" w:type="dxa"/>
          </w:tcPr>
          <w:p w14:paraId="4F958E11" w14:textId="77777777" w:rsidR="0035437F" w:rsidRPr="009255D7" w:rsidRDefault="0035437F" w:rsidP="0035437F">
            <w:pPr>
              <w:rPr>
                <w:rFonts w:ascii="Calibri" w:hAnsi="Calibri" w:cs="Calibri"/>
                <w:color w:val="000000" w:themeColor="text1"/>
                <w:sz w:val="22"/>
                <w:szCs w:val="22"/>
              </w:rPr>
            </w:pPr>
          </w:p>
        </w:tc>
        <w:tc>
          <w:tcPr>
            <w:tcW w:w="5640" w:type="dxa"/>
          </w:tcPr>
          <w:p w14:paraId="3777F400"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6378584F" w14:textId="77777777" w:rsidTr="009443A6">
        <w:trPr>
          <w:cantSplit/>
          <w:trHeight w:val="20"/>
        </w:trPr>
        <w:tc>
          <w:tcPr>
            <w:tcW w:w="4068" w:type="dxa"/>
          </w:tcPr>
          <w:p w14:paraId="103DC25C" w14:textId="6EE70F29"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Connects to students’ prior knowledge, lessons, assignments, and/or readings.</w:t>
            </w:r>
            <w:r w:rsidR="00A17977" w:rsidRPr="009255D7">
              <w:rPr>
                <w:rFonts w:ascii="Calibri" w:hAnsi="Calibri" w:cs="Calibri"/>
                <w:color w:val="000000" w:themeColor="text1"/>
                <w:sz w:val="22"/>
                <w:szCs w:val="22"/>
              </w:rPr>
              <w:t xml:space="preserve"> </w:t>
            </w:r>
            <w:r w:rsidR="001A610C" w:rsidRPr="009255D7">
              <w:rPr>
                <w:rFonts w:ascii="Calibri" w:hAnsi="Calibri" w:cs="Calibri"/>
                <w:color w:val="000000" w:themeColor="text1"/>
                <w:sz w:val="22"/>
                <w:szCs w:val="22"/>
              </w:rPr>
              <w:t>[9] [10]</w:t>
            </w:r>
          </w:p>
        </w:tc>
        <w:tc>
          <w:tcPr>
            <w:tcW w:w="1320" w:type="dxa"/>
          </w:tcPr>
          <w:p w14:paraId="2C560822" w14:textId="77777777" w:rsidR="0035437F" w:rsidRPr="009255D7" w:rsidRDefault="0035437F" w:rsidP="0035437F">
            <w:pPr>
              <w:rPr>
                <w:rFonts w:ascii="Calibri" w:hAnsi="Calibri" w:cs="Calibri"/>
                <w:color w:val="000000" w:themeColor="text1"/>
                <w:sz w:val="22"/>
                <w:szCs w:val="22"/>
              </w:rPr>
            </w:pPr>
          </w:p>
        </w:tc>
        <w:tc>
          <w:tcPr>
            <w:tcW w:w="5640" w:type="dxa"/>
          </w:tcPr>
          <w:p w14:paraId="7B82C97A"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1DD9184B" w14:textId="77777777" w:rsidTr="009443A6">
        <w:trPr>
          <w:cantSplit/>
          <w:trHeight w:val="20"/>
        </w:trPr>
        <w:tc>
          <w:tcPr>
            <w:tcW w:w="4068" w:type="dxa"/>
          </w:tcPr>
          <w:p w14:paraId="202C6B95" w14:textId="33CA523A"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Explores and values connections with other disciplines and/or real-world phenomena (tangible examples when they exist).</w:t>
            </w:r>
            <w:r w:rsidR="00A17977" w:rsidRPr="009255D7">
              <w:rPr>
                <w:rFonts w:ascii="Calibri" w:hAnsi="Calibri" w:cs="Calibri"/>
                <w:color w:val="000000" w:themeColor="text1"/>
                <w:sz w:val="22"/>
                <w:szCs w:val="22"/>
              </w:rPr>
              <w:t xml:space="preserve"> [11]</w:t>
            </w:r>
          </w:p>
        </w:tc>
        <w:tc>
          <w:tcPr>
            <w:tcW w:w="1320" w:type="dxa"/>
          </w:tcPr>
          <w:p w14:paraId="63280027" w14:textId="77777777" w:rsidR="0035437F" w:rsidRPr="009255D7" w:rsidRDefault="0035437F" w:rsidP="0035437F">
            <w:pPr>
              <w:rPr>
                <w:rFonts w:ascii="Calibri" w:hAnsi="Calibri" w:cs="Calibri"/>
                <w:color w:val="000000" w:themeColor="text1"/>
                <w:sz w:val="22"/>
                <w:szCs w:val="22"/>
              </w:rPr>
            </w:pPr>
          </w:p>
        </w:tc>
        <w:tc>
          <w:tcPr>
            <w:tcW w:w="5640" w:type="dxa"/>
          </w:tcPr>
          <w:p w14:paraId="109ACDE2"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5EEC30E9" w14:textId="77777777" w:rsidTr="009443A6">
        <w:trPr>
          <w:cantSplit/>
          <w:trHeight w:val="20"/>
        </w:trPr>
        <w:tc>
          <w:tcPr>
            <w:tcW w:w="4068" w:type="dxa"/>
          </w:tcPr>
          <w:p w14:paraId="68C1440C" w14:textId="3634A56A"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Draws upon student experience and/or current events.</w:t>
            </w:r>
            <w:r w:rsidR="00A17977" w:rsidRPr="009255D7">
              <w:rPr>
                <w:rFonts w:ascii="Calibri" w:hAnsi="Calibri" w:cs="Calibri"/>
                <w:color w:val="000000" w:themeColor="text1"/>
                <w:sz w:val="22"/>
                <w:szCs w:val="22"/>
              </w:rPr>
              <w:t xml:space="preserve"> [9] [11]</w:t>
            </w:r>
          </w:p>
        </w:tc>
        <w:tc>
          <w:tcPr>
            <w:tcW w:w="1320" w:type="dxa"/>
          </w:tcPr>
          <w:p w14:paraId="595C6CB4" w14:textId="77777777" w:rsidR="0035437F" w:rsidRPr="009255D7" w:rsidRDefault="0035437F" w:rsidP="0035437F">
            <w:pPr>
              <w:rPr>
                <w:rFonts w:ascii="Calibri" w:hAnsi="Calibri" w:cs="Calibri"/>
                <w:color w:val="000000" w:themeColor="text1"/>
                <w:sz w:val="22"/>
                <w:szCs w:val="22"/>
              </w:rPr>
            </w:pPr>
          </w:p>
        </w:tc>
        <w:tc>
          <w:tcPr>
            <w:tcW w:w="5640" w:type="dxa"/>
          </w:tcPr>
          <w:p w14:paraId="49C32841"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02F59347" w14:textId="77777777" w:rsidTr="0035437F">
        <w:trPr>
          <w:cantSplit/>
          <w:trHeight w:val="20"/>
        </w:trPr>
        <w:tc>
          <w:tcPr>
            <w:tcW w:w="4068" w:type="dxa"/>
            <w:tcBorders>
              <w:bottom w:val="single" w:sz="4" w:space="0" w:color="auto"/>
            </w:tcBorders>
          </w:tcPr>
          <w:p w14:paraId="5EF92898" w14:textId="2B85C2D4"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Has chosen content to reflect a diversity of voices, where appropriate.</w:t>
            </w:r>
            <w:r w:rsidR="00A17977" w:rsidRPr="009255D7">
              <w:rPr>
                <w:rFonts w:ascii="Calibri" w:hAnsi="Calibri" w:cs="Calibri"/>
                <w:color w:val="000000" w:themeColor="text1"/>
                <w:sz w:val="22"/>
                <w:szCs w:val="22"/>
              </w:rPr>
              <w:t xml:space="preserve"> [5] [6]</w:t>
            </w:r>
          </w:p>
        </w:tc>
        <w:tc>
          <w:tcPr>
            <w:tcW w:w="1320" w:type="dxa"/>
            <w:tcBorders>
              <w:bottom w:val="single" w:sz="4" w:space="0" w:color="auto"/>
            </w:tcBorders>
          </w:tcPr>
          <w:p w14:paraId="17973E91" w14:textId="77777777" w:rsidR="0035437F" w:rsidRPr="009255D7" w:rsidRDefault="0035437F" w:rsidP="0035437F">
            <w:pPr>
              <w:rPr>
                <w:rFonts w:ascii="Calibri" w:hAnsi="Calibri" w:cs="Calibri"/>
                <w:color w:val="000000" w:themeColor="text1"/>
                <w:sz w:val="22"/>
                <w:szCs w:val="22"/>
              </w:rPr>
            </w:pPr>
          </w:p>
        </w:tc>
        <w:tc>
          <w:tcPr>
            <w:tcW w:w="5640" w:type="dxa"/>
            <w:tcBorders>
              <w:bottom w:val="single" w:sz="4" w:space="0" w:color="auto"/>
            </w:tcBorders>
          </w:tcPr>
          <w:p w14:paraId="2047F102"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6E240CD8" w14:textId="77777777" w:rsidTr="0035437F">
        <w:trPr>
          <w:cantSplit/>
          <w:trHeight w:val="20"/>
        </w:trPr>
        <w:tc>
          <w:tcPr>
            <w:tcW w:w="4068" w:type="dxa"/>
            <w:tcBorders>
              <w:top w:val="single" w:sz="4" w:space="0" w:color="auto"/>
              <w:left w:val="single" w:sz="4" w:space="0" w:color="auto"/>
              <w:bottom w:val="single" w:sz="4" w:space="0" w:color="auto"/>
              <w:right w:val="nil"/>
            </w:tcBorders>
          </w:tcPr>
          <w:p w14:paraId="3630A464" w14:textId="689A48DE"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b/>
                <w:color w:val="000000" w:themeColor="text1"/>
                <w:u w:val="single"/>
              </w:rPr>
              <w:t>Classroom community: the students…</w:t>
            </w:r>
          </w:p>
        </w:tc>
        <w:tc>
          <w:tcPr>
            <w:tcW w:w="1320" w:type="dxa"/>
            <w:tcBorders>
              <w:top w:val="single" w:sz="4" w:space="0" w:color="auto"/>
              <w:left w:val="nil"/>
              <w:bottom w:val="single" w:sz="4" w:space="0" w:color="auto"/>
              <w:right w:val="nil"/>
            </w:tcBorders>
          </w:tcPr>
          <w:p w14:paraId="031F72F0" w14:textId="77777777" w:rsidR="0035437F" w:rsidRPr="009255D7" w:rsidRDefault="0035437F" w:rsidP="0035437F">
            <w:pPr>
              <w:rPr>
                <w:rFonts w:ascii="Calibri" w:hAnsi="Calibri" w:cs="Calibri"/>
                <w:color w:val="000000" w:themeColor="text1"/>
                <w:sz w:val="22"/>
                <w:szCs w:val="22"/>
              </w:rPr>
            </w:pPr>
          </w:p>
        </w:tc>
        <w:tc>
          <w:tcPr>
            <w:tcW w:w="5640" w:type="dxa"/>
            <w:tcBorders>
              <w:top w:val="single" w:sz="4" w:space="0" w:color="auto"/>
              <w:left w:val="nil"/>
              <w:bottom w:val="single" w:sz="4" w:space="0" w:color="auto"/>
              <w:right w:val="single" w:sz="4" w:space="0" w:color="auto"/>
            </w:tcBorders>
          </w:tcPr>
          <w:p w14:paraId="68891629"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9255D7" w:rsidRPr="009255D7" w14:paraId="228F6E16" w14:textId="77777777" w:rsidTr="0035437F">
        <w:trPr>
          <w:cantSplit/>
          <w:trHeight w:val="20"/>
        </w:trPr>
        <w:tc>
          <w:tcPr>
            <w:tcW w:w="4068" w:type="dxa"/>
            <w:tcBorders>
              <w:top w:val="single" w:sz="4" w:space="0" w:color="auto"/>
            </w:tcBorders>
          </w:tcPr>
          <w:p w14:paraId="218136A3" w14:textId="31BAC491"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Arrive on time and remain until dismissed.</w:t>
            </w:r>
          </w:p>
        </w:tc>
        <w:tc>
          <w:tcPr>
            <w:tcW w:w="1320" w:type="dxa"/>
            <w:tcBorders>
              <w:top w:val="single" w:sz="4" w:space="0" w:color="auto"/>
            </w:tcBorders>
          </w:tcPr>
          <w:p w14:paraId="7519E01B" w14:textId="77777777" w:rsidR="0035437F" w:rsidRPr="009255D7" w:rsidRDefault="0035437F" w:rsidP="0035437F">
            <w:pPr>
              <w:rPr>
                <w:rFonts w:ascii="Calibri" w:hAnsi="Calibri" w:cs="Calibri"/>
                <w:color w:val="000000" w:themeColor="text1"/>
                <w:sz w:val="22"/>
                <w:szCs w:val="22"/>
              </w:rPr>
            </w:pPr>
          </w:p>
        </w:tc>
        <w:tc>
          <w:tcPr>
            <w:tcW w:w="5640" w:type="dxa"/>
            <w:tcBorders>
              <w:top w:val="single" w:sz="4" w:space="0" w:color="auto"/>
            </w:tcBorders>
          </w:tcPr>
          <w:p w14:paraId="7CB7644A"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r w:rsidR="0035437F" w:rsidRPr="009255D7" w14:paraId="45893407" w14:textId="77777777" w:rsidTr="009443A6">
        <w:trPr>
          <w:cantSplit/>
          <w:trHeight w:val="20"/>
        </w:trPr>
        <w:tc>
          <w:tcPr>
            <w:tcW w:w="4068" w:type="dxa"/>
          </w:tcPr>
          <w:p w14:paraId="15B44C5E" w14:textId="6179AA39" w:rsidR="0035437F" w:rsidRPr="009255D7" w:rsidRDefault="0035437F" w:rsidP="0035437F">
            <w:pPr>
              <w:pStyle w:val="BodyText2"/>
              <w:spacing w:line="240" w:lineRule="auto"/>
              <w:rPr>
                <w:rFonts w:ascii="Calibri" w:hAnsi="Calibri" w:cs="Calibri"/>
                <w:color w:val="000000" w:themeColor="text1"/>
                <w:sz w:val="22"/>
                <w:szCs w:val="22"/>
              </w:rPr>
            </w:pPr>
            <w:r w:rsidRPr="009255D7">
              <w:rPr>
                <w:rFonts w:ascii="Calibri" w:hAnsi="Calibri" w:cs="Calibri"/>
                <w:color w:val="000000" w:themeColor="text1"/>
                <w:sz w:val="22"/>
                <w:szCs w:val="22"/>
              </w:rPr>
              <w:t xml:space="preserve">Are attentive </w:t>
            </w:r>
            <w:r w:rsidR="00C90699">
              <w:rPr>
                <w:rFonts w:ascii="Calibri" w:hAnsi="Calibri" w:cs="Calibri"/>
                <w:color w:val="000000" w:themeColor="text1"/>
                <w:sz w:val="22"/>
                <w:szCs w:val="22"/>
              </w:rPr>
              <w:t>and engaged</w:t>
            </w:r>
            <w:r w:rsidR="00A17977" w:rsidRPr="009255D7">
              <w:rPr>
                <w:rFonts w:ascii="Calibri" w:hAnsi="Calibri" w:cs="Calibri"/>
                <w:color w:val="000000" w:themeColor="text1"/>
                <w:sz w:val="22"/>
                <w:szCs w:val="22"/>
              </w:rPr>
              <w:t>. [12] [13]</w:t>
            </w:r>
          </w:p>
        </w:tc>
        <w:tc>
          <w:tcPr>
            <w:tcW w:w="1320" w:type="dxa"/>
          </w:tcPr>
          <w:p w14:paraId="40E25FC8" w14:textId="77777777" w:rsidR="0035437F" w:rsidRPr="009255D7" w:rsidRDefault="0035437F" w:rsidP="0035437F">
            <w:pPr>
              <w:rPr>
                <w:rFonts w:ascii="Calibri" w:hAnsi="Calibri" w:cs="Calibri"/>
                <w:color w:val="000000" w:themeColor="text1"/>
                <w:sz w:val="22"/>
                <w:szCs w:val="22"/>
              </w:rPr>
            </w:pPr>
          </w:p>
        </w:tc>
        <w:tc>
          <w:tcPr>
            <w:tcW w:w="5640" w:type="dxa"/>
          </w:tcPr>
          <w:p w14:paraId="478146E2"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bl>
    <w:p w14:paraId="4C4C0FEA" w14:textId="5615DBBD" w:rsidR="00980C2F" w:rsidRPr="009255D7" w:rsidRDefault="00980C2F" w:rsidP="00E20820">
      <w:pPr>
        <w:tabs>
          <w:tab w:val="left" w:pos="1380"/>
        </w:tabs>
        <w:rPr>
          <w:rFonts w:ascii="Calibri" w:hAnsi="Calibri" w:cs="Calibri"/>
          <w:color w:val="000000" w:themeColor="text1"/>
          <w:sz w:val="22"/>
          <w:szCs w:val="22"/>
        </w:rPr>
      </w:pPr>
    </w:p>
    <w:tbl>
      <w:tblPr>
        <w:tblStyle w:val="TableGrid"/>
        <w:tblW w:w="10998" w:type="dxa"/>
        <w:tblLayout w:type="fixed"/>
        <w:tblLook w:val="04A0" w:firstRow="1" w:lastRow="0" w:firstColumn="1" w:lastColumn="0" w:noHBand="0" w:noVBand="1"/>
      </w:tblPr>
      <w:tblGrid>
        <w:gridCol w:w="4068"/>
        <w:gridCol w:w="1350"/>
        <w:gridCol w:w="5580"/>
      </w:tblGrid>
      <w:tr w:rsidR="009255D7" w:rsidRPr="009255D7" w14:paraId="5B40FB4B" w14:textId="77777777" w:rsidTr="007F645A">
        <w:trPr>
          <w:cantSplit/>
        </w:trPr>
        <w:tc>
          <w:tcPr>
            <w:tcW w:w="10998" w:type="dxa"/>
            <w:gridSpan w:val="3"/>
            <w:shd w:val="clear" w:color="auto" w:fill="EAF1DD" w:themeFill="accent3" w:themeFillTint="33"/>
          </w:tcPr>
          <w:p w14:paraId="1D0B72D4" w14:textId="4193FA58" w:rsidR="00AB3F50" w:rsidRPr="009255D7" w:rsidRDefault="00F2269F" w:rsidP="00FC53D7">
            <w:pPr>
              <w:rPr>
                <w:rFonts w:ascii="Calibri" w:hAnsi="Calibri" w:cs="Calibri"/>
                <w:color w:val="000000" w:themeColor="text1"/>
                <w:sz w:val="32"/>
                <w:szCs w:val="32"/>
                <w:u w:val="single"/>
              </w:rPr>
            </w:pPr>
            <w:r w:rsidRPr="009255D7">
              <w:rPr>
                <w:rFonts w:ascii="Calibri" w:hAnsi="Calibri" w:cs="Calibri"/>
                <w:b/>
                <w:color w:val="000000" w:themeColor="text1"/>
                <w:sz w:val="32"/>
                <w:szCs w:val="32"/>
                <w:u w:val="single"/>
              </w:rPr>
              <w:t>Research-Informed Teaching</w:t>
            </w:r>
          </w:p>
        </w:tc>
      </w:tr>
      <w:tr w:rsidR="009255D7" w:rsidRPr="009255D7" w14:paraId="2C2460B4" w14:textId="77777777" w:rsidTr="00F2269F">
        <w:trPr>
          <w:cantSplit/>
        </w:trPr>
        <w:tc>
          <w:tcPr>
            <w:tcW w:w="4068" w:type="dxa"/>
          </w:tcPr>
          <w:p w14:paraId="66F542A3" w14:textId="1CE14A01"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Draws upon scholarly works, including current research/developments.</w:t>
            </w:r>
            <w:r w:rsidR="001A610C" w:rsidRPr="009255D7">
              <w:rPr>
                <w:rFonts w:ascii="Calibri" w:hAnsi="Calibri" w:cs="Calibri"/>
                <w:color w:val="000000" w:themeColor="text1"/>
                <w:sz w:val="22"/>
                <w:szCs w:val="22"/>
              </w:rPr>
              <w:t>[1]</w:t>
            </w:r>
          </w:p>
        </w:tc>
        <w:tc>
          <w:tcPr>
            <w:tcW w:w="1350" w:type="dxa"/>
          </w:tcPr>
          <w:p w14:paraId="6A0A519C" w14:textId="77777777" w:rsidR="00F2269F" w:rsidRPr="009255D7" w:rsidRDefault="00F2269F" w:rsidP="00F2269F">
            <w:pPr>
              <w:rPr>
                <w:rFonts w:ascii="Calibri" w:hAnsi="Calibri" w:cs="Calibri"/>
                <w:color w:val="000000" w:themeColor="text1"/>
                <w:sz w:val="22"/>
                <w:szCs w:val="22"/>
              </w:rPr>
            </w:pPr>
          </w:p>
        </w:tc>
        <w:tc>
          <w:tcPr>
            <w:tcW w:w="5580" w:type="dxa"/>
          </w:tcPr>
          <w:p w14:paraId="28E9CB2E"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9255D7" w14:paraId="30E605C6" w14:textId="77777777" w:rsidTr="00F2269F">
        <w:trPr>
          <w:cantSplit/>
        </w:trPr>
        <w:tc>
          <w:tcPr>
            <w:tcW w:w="4068" w:type="dxa"/>
          </w:tcPr>
          <w:p w14:paraId="3F65EEB8" w14:textId="19BA1AE4"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lastRenderedPageBreak/>
              <w:t>Invites students into the subject matter, e.g. through storytelling</w:t>
            </w:r>
            <w:r w:rsidR="001A610C" w:rsidRPr="009255D7">
              <w:rPr>
                <w:rFonts w:ascii="Calibri" w:hAnsi="Calibri" w:cs="Calibri"/>
                <w:color w:val="000000" w:themeColor="text1"/>
                <w:sz w:val="22"/>
                <w:szCs w:val="22"/>
              </w:rPr>
              <w:t xml:space="preserve"> [</w:t>
            </w:r>
            <w:r w:rsidR="00A17977" w:rsidRPr="009255D7">
              <w:rPr>
                <w:rFonts w:ascii="Calibri" w:hAnsi="Calibri" w:cs="Calibri"/>
                <w:color w:val="000000" w:themeColor="text1"/>
                <w:sz w:val="22"/>
                <w:szCs w:val="22"/>
              </w:rPr>
              <w:t>1</w:t>
            </w:r>
            <w:r w:rsidR="001A610C" w:rsidRPr="009255D7">
              <w:rPr>
                <w:rFonts w:ascii="Calibri" w:hAnsi="Calibri" w:cs="Calibri"/>
                <w:color w:val="000000" w:themeColor="text1"/>
                <w:sz w:val="22"/>
                <w:szCs w:val="22"/>
              </w:rPr>
              <w:t>5]</w:t>
            </w:r>
            <w:r w:rsidRPr="009255D7">
              <w:rPr>
                <w:rFonts w:ascii="Calibri" w:hAnsi="Calibri" w:cs="Calibri"/>
                <w:color w:val="000000" w:themeColor="text1"/>
                <w:sz w:val="22"/>
                <w:szCs w:val="22"/>
              </w:rPr>
              <w:t>; compelling case studies</w:t>
            </w:r>
            <w:r w:rsidR="001A610C" w:rsidRPr="009255D7">
              <w:rPr>
                <w:rFonts w:ascii="Calibri" w:hAnsi="Calibri" w:cs="Calibri"/>
                <w:color w:val="000000" w:themeColor="text1"/>
                <w:sz w:val="22"/>
                <w:szCs w:val="22"/>
              </w:rPr>
              <w:t xml:space="preserve"> [</w:t>
            </w:r>
            <w:r w:rsidR="00A17977" w:rsidRPr="009255D7">
              <w:rPr>
                <w:rFonts w:ascii="Calibri" w:hAnsi="Calibri" w:cs="Calibri"/>
                <w:color w:val="000000" w:themeColor="text1"/>
                <w:sz w:val="22"/>
                <w:szCs w:val="22"/>
              </w:rPr>
              <w:t>1</w:t>
            </w:r>
            <w:r w:rsidR="001A610C" w:rsidRPr="009255D7">
              <w:rPr>
                <w:rFonts w:ascii="Calibri" w:hAnsi="Calibri" w:cs="Calibri"/>
                <w:color w:val="000000" w:themeColor="text1"/>
                <w:sz w:val="22"/>
                <w:szCs w:val="22"/>
              </w:rPr>
              <w:t>6]</w:t>
            </w:r>
            <w:r w:rsidRPr="009255D7">
              <w:rPr>
                <w:rFonts w:ascii="Calibri" w:hAnsi="Calibri" w:cs="Calibri"/>
                <w:color w:val="000000" w:themeColor="text1"/>
                <w:sz w:val="22"/>
                <w:szCs w:val="22"/>
              </w:rPr>
              <w:t>; explicit commentary about the skills, values, or formation of the discipline; etc.</w:t>
            </w:r>
            <w:r w:rsidR="001A610C" w:rsidRPr="009255D7">
              <w:rPr>
                <w:rFonts w:ascii="Calibri" w:hAnsi="Calibri" w:cs="Calibri"/>
                <w:color w:val="000000" w:themeColor="text1"/>
                <w:sz w:val="22"/>
                <w:szCs w:val="22"/>
              </w:rPr>
              <w:t xml:space="preserve"> [3]</w:t>
            </w:r>
          </w:p>
        </w:tc>
        <w:tc>
          <w:tcPr>
            <w:tcW w:w="1350" w:type="dxa"/>
          </w:tcPr>
          <w:p w14:paraId="4483DB7D" w14:textId="77777777" w:rsidR="00F2269F" w:rsidRPr="009255D7" w:rsidRDefault="00F2269F" w:rsidP="00F2269F">
            <w:pPr>
              <w:rPr>
                <w:rFonts w:ascii="Calibri" w:hAnsi="Calibri" w:cs="Calibri"/>
                <w:color w:val="000000" w:themeColor="text1"/>
                <w:sz w:val="22"/>
                <w:szCs w:val="22"/>
              </w:rPr>
            </w:pPr>
          </w:p>
        </w:tc>
        <w:tc>
          <w:tcPr>
            <w:tcW w:w="5580" w:type="dxa"/>
          </w:tcPr>
          <w:p w14:paraId="118831AA"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9255D7" w14:paraId="23BD4992" w14:textId="77777777" w:rsidTr="00F2269F">
        <w:trPr>
          <w:cantSplit/>
        </w:trPr>
        <w:tc>
          <w:tcPr>
            <w:tcW w:w="4068" w:type="dxa"/>
          </w:tcPr>
          <w:p w14:paraId="5CE05D6B" w14:textId="57FFA407" w:rsidR="00F2269F" w:rsidRPr="009255D7" w:rsidRDefault="007F645A"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Shows command of the material.</w:t>
            </w:r>
          </w:p>
        </w:tc>
        <w:tc>
          <w:tcPr>
            <w:tcW w:w="1350" w:type="dxa"/>
          </w:tcPr>
          <w:p w14:paraId="266CAC89" w14:textId="77777777" w:rsidR="00F2269F" w:rsidRPr="009255D7" w:rsidRDefault="00F2269F" w:rsidP="00F2269F">
            <w:pPr>
              <w:rPr>
                <w:rFonts w:ascii="Calibri" w:hAnsi="Calibri" w:cs="Calibri"/>
                <w:color w:val="000000" w:themeColor="text1"/>
                <w:sz w:val="22"/>
                <w:szCs w:val="22"/>
              </w:rPr>
            </w:pPr>
          </w:p>
        </w:tc>
        <w:tc>
          <w:tcPr>
            <w:tcW w:w="5580" w:type="dxa"/>
          </w:tcPr>
          <w:p w14:paraId="3223D55E"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9255D7" w14:paraId="61102351" w14:textId="77777777" w:rsidTr="00F2269F">
        <w:trPr>
          <w:cantSplit/>
        </w:trPr>
        <w:tc>
          <w:tcPr>
            <w:tcW w:w="4068" w:type="dxa"/>
          </w:tcPr>
          <w:p w14:paraId="6400D4C9" w14:textId="7C6718FA" w:rsidR="00F2269F" w:rsidRPr="009255D7" w:rsidRDefault="00F2269F" w:rsidP="00F2269F">
            <w:pPr>
              <w:rPr>
                <w:rFonts w:ascii="Calibri" w:hAnsi="Calibri" w:cs="Calibri"/>
                <w:iCs/>
                <w:color w:val="000000" w:themeColor="text1"/>
                <w:sz w:val="22"/>
                <w:szCs w:val="22"/>
              </w:rPr>
            </w:pPr>
            <w:r w:rsidRPr="00C90699">
              <w:rPr>
                <w:rFonts w:ascii="Calibri" w:hAnsi="Calibri" w:cs="Calibri"/>
                <w:iCs/>
                <w:color w:val="000000" w:themeColor="text1"/>
                <w:sz w:val="22"/>
                <w:szCs w:val="22"/>
              </w:rPr>
              <w:t>Class session learning objectives aligned with overall course objectives</w:t>
            </w:r>
            <w:r w:rsidRPr="009255D7">
              <w:rPr>
                <w:rFonts w:ascii="Calibri" w:hAnsi="Calibri" w:cs="Calibri"/>
                <w:i/>
                <w:color w:val="000000" w:themeColor="text1"/>
                <w:sz w:val="22"/>
                <w:szCs w:val="22"/>
              </w:rPr>
              <w:t>.</w:t>
            </w:r>
            <w:r w:rsidR="001A610C" w:rsidRPr="009255D7">
              <w:rPr>
                <w:rFonts w:ascii="Calibri" w:hAnsi="Calibri" w:cs="Calibri"/>
                <w:iCs/>
                <w:color w:val="000000" w:themeColor="text1"/>
                <w:sz w:val="22"/>
                <w:szCs w:val="22"/>
              </w:rPr>
              <w:t xml:space="preserve"> </w:t>
            </w:r>
            <w:r w:rsidR="00A17977" w:rsidRPr="009255D7">
              <w:rPr>
                <w:rFonts w:ascii="Calibri" w:hAnsi="Calibri" w:cs="Calibri"/>
                <w:iCs/>
                <w:color w:val="000000" w:themeColor="text1"/>
                <w:sz w:val="22"/>
                <w:szCs w:val="22"/>
              </w:rPr>
              <w:t>[1] [2] [17] [18]</w:t>
            </w:r>
          </w:p>
        </w:tc>
        <w:tc>
          <w:tcPr>
            <w:tcW w:w="1350" w:type="dxa"/>
          </w:tcPr>
          <w:p w14:paraId="0EF00807" w14:textId="77777777" w:rsidR="00F2269F" w:rsidRPr="009255D7" w:rsidRDefault="00F2269F" w:rsidP="00F2269F">
            <w:pPr>
              <w:rPr>
                <w:rFonts w:ascii="Calibri" w:hAnsi="Calibri" w:cs="Calibri"/>
                <w:color w:val="000000" w:themeColor="text1"/>
                <w:sz w:val="22"/>
                <w:szCs w:val="22"/>
              </w:rPr>
            </w:pPr>
          </w:p>
        </w:tc>
        <w:tc>
          <w:tcPr>
            <w:tcW w:w="5580" w:type="dxa"/>
          </w:tcPr>
          <w:p w14:paraId="2970A253"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9255D7" w14:paraId="5E024E4C" w14:textId="77777777" w:rsidTr="00F2269F">
        <w:trPr>
          <w:cantSplit/>
        </w:trPr>
        <w:tc>
          <w:tcPr>
            <w:tcW w:w="4068" w:type="dxa"/>
          </w:tcPr>
          <w:p w14:paraId="58883D8A" w14:textId="233762F3"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Builds off student answers/comments whether correct or incorrect.</w:t>
            </w:r>
          </w:p>
        </w:tc>
        <w:tc>
          <w:tcPr>
            <w:tcW w:w="1350" w:type="dxa"/>
          </w:tcPr>
          <w:p w14:paraId="7DADCE7D" w14:textId="77777777" w:rsidR="00F2269F" w:rsidRPr="009255D7" w:rsidRDefault="00F2269F" w:rsidP="00F2269F">
            <w:pPr>
              <w:rPr>
                <w:rFonts w:ascii="Calibri" w:hAnsi="Calibri" w:cs="Calibri"/>
                <w:color w:val="000000" w:themeColor="text1"/>
                <w:sz w:val="22"/>
                <w:szCs w:val="22"/>
              </w:rPr>
            </w:pPr>
          </w:p>
        </w:tc>
        <w:tc>
          <w:tcPr>
            <w:tcW w:w="5580" w:type="dxa"/>
          </w:tcPr>
          <w:p w14:paraId="0FD79F2E"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9255D7" w14:paraId="22497102" w14:textId="77777777" w:rsidTr="00F2269F">
        <w:trPr>
          <w:cantSplit/>
        </w:trPr>
        <w:tc>
          <w:tcPr>
            <w:tcW w:w="4068" w:type="dxa"/>
          </w:tcPr>
          <w:p w14:paraId="7367B8F1" w14:textId="2782BFAF"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Incorporates low-stakes assessment (such as iClicker questions, one-minute papers, muddiest point, etc.) to help instructor and students gauge progress.</w:t>
            </w:r>
            <w:r w:rsidR="009255D7" w:rsidRPr="009255D7">
              <w:rPr>
                <w:rFonts w:ascii="Calibri" w:hAnsi="Calibri" w:cs="Calibri"/>
                <w:color w:val="000000" w:themeColor="text1"/>
                <w:sz w:val="22"/>
                <w:szCs w:val="22"/>
              </w:rPr>
              <w:t xml:space="preserve"> [19] [20] [21]</w:t>
            </w:r>
          </w:p>
        </w:tc>
        <w:tc>
          <w:tcPr>
            <w:tcW w:w="1350" w:type="dxa"/>
          </w:tcPr>
          <w:p w14:paraId="6D2EEBB6" w14:textId="77777777" w:rsidR="00F2269F" w:rsidRPr="009255D7" w:rsidRDefault="00F2269F" w:rsidP="00F2269F">
            <w:pPr>
              <w:rPr>
                <w:rFonts w:ascii="Calibri" w:hAnsi="Calibri" w:cs="Calibri"/>
                <w:color w:val="000000" w:themeColor="text1"/>
                <w:sz w:val="22"/>
                <w:szCs w:val="22"/>
              </w:rPr>
            </w:pPr>
          </w:p>
        </w:tc>
        <w:tc>
          <w:tcPr>
            <w:tcW w:w="5580" w:type="dxa"/>
          </w:tcPr>
          <w:p w14:paraId="3C159031"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9255D7" w14:paraId="14201B8B" w14:textId="77777777" w:rsidTr="00F2269F">
        <w:trPr>
          <w:cantSplit/>
        </w:trPr>
        <w:tc>
          <w:tcPr>
            <w:tcW w:w="4068" w:type="dxa"/>
          </w:tcPr>
          <w:p w14:paraId="4B709ACD" w14:textId="690AD3C9" w:rsidR="00F2269F" w:rsidRPr="009255D7" w:rsidRDefault="002F02A0"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 xml:space="preserve">Teaches the class at a level appropriate for most students. </w:t>
            </w:r>
            <w:r w:rsidR="009255D7" w:rsidRPr="009255D7">
              <w:rPr>
                <w:rFonts w:ascii="Calibri" w:hAnsi="Calibri" w:cs="Calibri"/>
                <w:color w:val="000000" w:themeColor="text1"/>
                <w:sz w:val="22"/>
                <w:szCs w:val="22"/>
              </w:rPr>
              <w:t>[2] [11] [22]</w:t>
            </w:r>
          </w:p>
        </w:tc>
        <w:tc>
          <w:tcPr>
            <w:tcW w:w="1350" w:type="dxa"/>
          </w:tcPr>
          <w:p w14:paraId="39EF9A57" w14:textId="77777777" w:rsidR="00F2269F" w:rsidRPr="009255D7" w:rsidRDefault="00F2269F" w:rsidP="00F2269F">
            <w:pPr>
              <w:rPr>
                <w:rFonts w:ascii="Calibri" w:hAnsi="Calibri" w:cs="Calibri"/>
                <w:color w:val="000000" w:themeColor="text1"/>
                <w:sz w:val="22"/>
                <w:szCs w:val="22"/>
              </w:rPr>
            </w:pPr>
          </w:p>
        </w:tc>
        <w:tc>
          <w:tcPr>
            <w:tcW w:w="5580" w:type="dxa"/>
          </w:tcPr>
          <w:p w14:paraId="3800DCB7"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9255D7" w14:paraId="1063B827" w14:textId="77777777" w:rsidTr="00F2269F">
        <w:trPr>
          <w:cantSplit/>
        </w:trPr>
        <w:tc>
          <w:tcPr>
            <w:tcW w:w="4068" w:type="dxa"/>
          </w:tcPr>
          <w:p w14:paraId="2FEB4824" w14:textId="7D1BEE81"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Incorporates small-group discussions or problem-solving sessions into the class period.</w:t>
            </w:r>
            <w:r w:rsidR="009255D7" w:rsidRPr="009255D7">
              <w:rPr>
                <w:rFonts w:ascii="Calibri" w:hAnsi="Calibri" w:cs="Calibri"/>
                <w:color w:val="000000" w:themeColor="text1"/>
                <w:sz w:val="22"/>
                <w:szCs w:val="22"/>
              </w:rPr>
              <w:t xml:space="preserve"> [23] [24] [25]</w:t>
            </w:r>
          </w:p>
        </w:tc>
        <w:tc>
          <w:tcPr>
            <w:tcW w:w="1350" w:type="dxa"/>
          </w:tcPr>
          <w:p w14:paraId="703B4EB7" w14:textId="77777777" w:rsidR="00F2269F" w:rsidRPr="009255D7" w:rsidRDefault="00F2269F" w:rsidP="00F2269F">
            <w:pPr>
              <w:rPr>
                <w:rFonts w:ascii="Calibri" w:hAnsi="Calibri" w:cs="Calibri"/>
                <w:color w:val="000000" w:themeColor="text1"/>
                <w:sz w:val="22"/>
                <w:szCs w:val="22"/>
              </w:rPr>
            </w:pPr>
          </w:p>
        </w:tc>
        <w:tc>
          <w:tcPr>
            <w:tcW w:w="5580" w:type="dxa"/>
          </w:tcPr>
          <w:p w14:paraId="2E47B7D2"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9255D7" w14:paraId="7DB5A9CF" w14:textId="77777777" w:rsidTr="00F2269F">
        <w:trPr>
          <w:cantSplit/>
        </w:trPr>
        <w:tc>
          <w:tcPr>
            <w:tcW w:w="4068" w:type="dxa"/>
          </w:tcPr>
          <w:p w14:paraId="7E4B9A28" w14:textId="00B71E24" w:rsidR="00F2269F" w:rsidRPr="009255D7" w:rsidRDefault="00F2269F" w:rsidP="00F2269F">
            <w:pPr>
              <w:rPr>
                <w:rFonts w:ascii="Calibri" w:hAnsi="Calibri" w:cs="Calibri"/>
                <w:color w:val="000000" w:themeColor="text1"/>
                <w:sz w:val="22"/>
                <w:szCs w:val="22"/>
              </w:rPr>
            </w:pPr>
            <w:r w:rsidRPr="009255D7">
              <w:rPr>
                <w:rFonts w:ascii="Calibri" w:hAnsi="Calibri" w:cs="Calibri"/>
                <w:color w:val="000000" w:themeColor="text1"/>
                <w:sz w:val="22"/>
                <w:szCs w:val="22"/>
              </w:rPr>
              <w:t>Poses questions and allots time for students to discuss them.</w:t>
            </w:r>
            <w:r w:rsidR="009255D7" w:rsidRPr="009255D7">
              <w:rPr>
                <w:rFonts w:ascii="Calibri" w:hAnsi="Calibri" w:cs="Calibri"/>
                <w:color w:val="000000" w:themeColor="text1"/>
                <w:sz w:val="22"/>
                <w:szCs w:val="22"/>
              </w:rPr>
              <w:t xml:space="preserve"> [19]</w:t>
            </w:r>
          </w:p>
        </w:tc>
        <w:tc>
          <w:tcPr>
            <w:tcW w:w="1350" w:type="dxa"/>
          </w:tcPr>
          <w:p w14:paraId="3565D9CE" w14:textId="77777777" w:rsidR="00F2269F" w:rsidRPr="009255D7" w:rsidRDefault="00F2269F" w:rsidP="00F2269F">
            <w:pPr>
              <w:rPr>
                <w:rFonts w:ascii="Calibri" w:hAnsi="Calibri" w:cs="Calibri"/>
                <w:color w:val="000000" w:themeColor="text1"/>
                <w:sz w:val="22"/>
                <w:szCs w:val="22"/>
              </w:rPr>
            </w:pPr>
          </w:p>
        </w:tc>
        <w:tc>
          <w:tcPr>
            <w:tcW w:w="5580" w:type="dxa"/>
          </w:tcPr>
          <w:p w14:paraId="1F61959F" w14:textId="77777777" w:rsidR="00F2269F" w:rsidRPr="009255D7" w:rsidRDefault="00F2269F" w:rsidP="00F2269F">
            <w:pPr>
              <w:pStyle w:val="BodyText2"/>
              <w:spacing w:line="240" w:lineRule="auto"/>
              <w:rPr>
                <w:rFonts w:ascii="Calibri" w:hAnsi="Calibri" w:cs="Calibri"/>
                <w:color w:val="000000" w:themeColor="text1"/>
                <w:sz w:val="22"/>
                <w:szCs w:val="22"/>
              </w:rPr>
            </w:pPr>
          </w:p>
        </w:tc>
      </w:tr>
      <w:tr w:rsidR="009255D7" w:rsidRPr="00C90699" w14:paraId="00306639" w14:textId="77777777" w:rsidTr="00F2269F">
        <w:trPr>
          <w:cantSplit/>
        </w:trPr>
        <w:tc>
          <w:tcPr>
            <w:tcW w:w="4068" w:type="dxa"/>
          </w:tcPr>
          <w:p w14:paraId="7FF63342" w14:textId="741A3AF1" w:rsidR="00F2269F" w:rsidRPr="00C90699" w:rsidRDefault="00F2269F" w:rsidP="00F2269F">
            <w:pPr>
              <w:rPr>
                <w:rFonts w:ascii="Calibri" w:hAnsi="Calibri" w:cs="Calibri"/>
                <w:color w:val="000000" w:themeColor="text1"/>
                <w:sz w:val="22"/>
                <w:szCs w:val="22"/>
              </w:rPr>
            </w:pPr>
            <w:r w:rsidRPr="00C90699">
              <w:rPr>
                <w:rFonts w:ascii="Calibri" w:hAnsi="Calibri" w:cs="Calibri"/>
                <w:color w:val="000000" w:themeColor="text1"/>
                <w:sz w:val="22"/>
                <w:szCs w:val="22"/>
              </w:rPr>
              <w:t xml:space="preserve">Asks a variety of types of questions (e.g., factual, application, critical). </w:t>
            </w:r>
          </w:p>
        </w:tc>
        <w:tc>
          <w:tcPr>
            <w:tcW w:w="1350" w:type="dxa"/>
          </w:tcPr>
          <w:p w14:paraId="231971B3" w14:textId="77777777" w:rsidR="00F2269F" w:rsidRPr="00C90699" w:rsidRDefault="00F2269F" w:rsidP="00F2269F">
            <w:pPr>
              <w:rPr>
                <w:rFonts w:ascii="Calibri" w:hAnsi="Calibri" w:cs="Calibri"/>
                <w:color w:val="000000" w:themeColor="text1"/>
                <w:sz w:val="22"/>
                <w:szCs w:val="22"/>
              </w:rPr>
            </w:pPr>
          </w:p>
        </w:tc>
        <w:tc>
          <w:tcPr>
            <w:tcW w:w="5580" w:type="dxa"/>
          </w:tcPr>
          <w:p w14:paraId="222BAA49" w14:textId="77777777" w:rsidR="00F2269F" w:rsidRPr="00C90699" w:rsidRDefault="00F2269F" w:rsidP="00F2269F">
            <w:pPr>
              <w:pStyle w:val="BodyText2"/>
              <w:spacing w:line="240" w:lineRule="auto"/>
              <w:rPr>
                <w:rFonts w:ascii="Calibri" w:hAnsi="Calibri" w:cs="Calibri"/>
                <w:color w:val="000000" w:themeColor="text1"/>
                <w:sz w:val="22"/>
                <w:szCs w:val="22"/>
              </w:rPr>
            </w:pPr>
          </w:p>
        </w:tc>
      </w:tr>
      <w:tr w:rsidR="0035437F" w:rsidRPr="009255D7" w14:paraId="0CEDEF46" w14:textId="77777777" w:rsidTr="00F2269F">
        <w:trPr>
          <w:cantSplit/>
        </w:trPr>
        <w:tc>
          <w:tcPr>
            <w:tcW w:w="4068" w:type="dxa"/>
          </w:tcPr>
          <w:p w14:paraId="6A5E21A0" w14:textId="192EB1B2" w:rsidR="0035437F" w:rsidRPr="009255D7" w:rsidRDefault="0035437F" w:rsidP="0035437F">
            <w:pPr>
              <w:rPr>
                <w:rFonts w:ascii="Calibri" w:hAnsi="Calibri" w:cs="Calibri"/>
                <w:color w:val="000000" w:themeColor="text1"/>
                <w:sz w:val="22"/>
                <w:szCs w:val="22"/>
              </w:rPr>
            </w:pPr>
            <w:r w:rsidRPr="009255D7">
              <w:rPr>
                <w:rFonts w:ascii="Calibri" w:hAnsi="Calibri" w:cs="Calibri"/>
                <w:color w:val="000000" w:themeColor="text1"/>
                <w:sz w:val="22"/>
                <w:szCs w:val="22"/>
              </w:rPr>
              <w:t>Finishes with a summary or closing activity.</w:t>
            </w:r>
            <w:r w:rsidR="009255D7" w:rsidRPr="009255D7">
              <w:rPr>
                <w:rFonts w:ascii="Calibri" w:hAnsi="Calibri" w:cs="Calibri"/>
                <w:color w:val="000000" w:themeColor="text1"/>
                <w:sz w:val="22"/>
                <w:szCs w:val="22"/>
              </w:rPr>
              <w:t xml:space="preserve"> [1]</w:t>
            </w:r>
          </w:p>
        </w:tc>
        <w:tc>
          <w:tcPr>
            <w:tcW w:w="1350" w:type="dxa"/>
          </w:tcPr>
          <w:p w14:paraId="383CE485" w14:textId="77777777" w:rsidR="0035437F" w:rsidRPr="009255D7" w:rsidRDefault="0035437F" w:rsidP="0035437F">
            <w:pPr>
              <w:rPr>
                <w:rFonts w:ascii="Calibri" w:hAnsi="Calibri" w:cs="Calibri"/>
                <w:color w:val="000000" w:themeColor="text1"/>
                <w:sz w:val="22"/>
                <w:szCs w:val="22"/>
              </w:rPr>
            </w:pPr>
          </w:p>
        </w:tc>
        <w:tc>
          <w:tcPr>
            <w:tcW w:w="5580" w:type="dxa"/>
          </w:tcPr>
          <w:p w14:paraId="1317A3A7" w14:textId="77777777" w:rsidR="0035437F" w:rsidRPr="009255D7" w:rsidRDefault="0035437F" w:rsidP="0035437F">
            <w:pPr>
              <w:pStyle w:val="BodyText2"/>
              <w:spacing w:line="240" w:lineRule="auto"/>
              <w:rPr>
                <w:rFonts w:ascii="Calibri" w:hAnsi="Calibri" w:cs="Calibri"/>
                <w:color w:val="000000" w:themeColor="text1"/>
                <w:sz w:val="22"/>
                <w:szCs w:val="22"/>
              </w:rPr>
            </w:pPr>
          </w:p>
        </w:tc>
      </w:tr>
    </w:tbl>
    <w:p w14:paraId="3C991EFB" w14:textId="77777777" w:rsidR="00324442" w:rsidRPr="009255D7" w:rsidRDefault="00324442" w:rsidP="001269A6">
      <w:pPr>
        <w:rPr>
          <w:rFonts w:ascii="Calibri" w:hAnsi="Calibri" w:cs="Calibri"/>
          <w:color w:val="000000" w:themeColor="text1"/>
          <w:sz w:val="22"/>
          <w:szCs w:val="22"/>
        </w:rPr>
      </w:pPr>
    </w:p>
    <w:p w14:paraId="5946626B" w14:textId="0853DA92" w:rsidR="008F37D2" w:rsidRPr="009255D7" w:rsidRDefault="008F37D2" w:rsidP="003B641A">
      <w:pPr>
        <w:rPr>
          <w:rFonts w:ascii="Calibri" w:hAnsi="Calibri" w:cs="Calibri"/>
          <w:b/>
          <w:color w:val="000000" w:themeColor="text1"/>
          <w:sz w:val="22"/>
          <w:szCs w:val="22"/>
          <w:u w:val="single"/>
        </w:rPr>
      </w:pPr>
    </w:p>
    <w:p w14:paraId="13F4BCA1" w14:textId="2EF518B3" w:rsidR="0035437F" w:rsidRPr="009255D7" w:rsidRDefault="0035437F" w:rsidP="003B641A">
      <w:pPr>
        <w:rPr>
          <w:rFonts w:ascii="Calibri" w:hAnsi="Calibri" w:cs="Calibri"/>
          <w:b/>
          <w:color w:val="000000" w:themeColor="text1"/>
          <w:sz w:val="22"/>
          <w:szCs w:val="22"/>
          <w:u w:val="single"/>
        </w:rPr>
      </w:pPr>
    </w:p>
    <w:p w14:paraId="0BC144F3" w14:textId="77777777" w:rsidR="0035437F" w:rsidRPr="009255D7" w:rsidRDefault="0035437F" w:rsidP="003B641A">
      <w:pPr>
        <w:rPr>
          <w:rFonts w:ascii="Calibri" w:hAnsi="Calibri" w:cs="Calibri"/>
          <w:b/>
          <w:color w:val="000000" w:themeColor="text1"/>
          <w:sz w:val="22"/>
          <w:szCs w:val="22"/>
          <w:u w:val="single"/>
        </w:rPr>
      </w:pPr>
    </w:p>
    <w:p w14:paraId="7C3A85EC" w14:textId="77777777" w:rsidR="00130686" w:rsidRPr="009255D7" w:rsidRDefault="00B9225A">
      <w:pPr>
        <w:rPr>
          <w:rFonts w:ascii="Calibri" w:hAnsi="Calibri" w:cs="Calibri"/>
          <w:b/>
          <w:color w:val="000000" w:themeColor="text1"/>
          <w:sz w:val="22"/>
          <w:szCs w:val="22"/>
          <w:u w:val="single"/>
        </w:rPr>
      </w:pPr>
      <w:r w:rsidRPr="009255D7">
        <w:rPr>
          <w:rFonts w:ascii="Calibri" w:hAnsi="Calibri" w:cs="Calibri"/>
          <w:b/>
          <w:color w:val="000000" w:themeColor="text1"/>
          <w:sz w:val="22"/>
          <w:szCs w:val="22"/>
          <w:u w:val="single"/>
        </w:rPr>
        <w:t xml:space="preserve">Overall </w:t>
      </w:r>
      <w:r w:rsidR="008F37D2" w:rsidRPr="009255D7">
        <w:rPr>
          <w:rFonts w:ascii="Calibri" w:hAnsi="Calibri" w:cs="Calibri"/>
          <w:b/>
          <w:color w:val="000000" w:themeColor="text1"/>
          <w:sz w:val="22"/>
          <w:szCs w:val="22"/>
          <w:u w:val="single"/>
        </w:rPr>
        <w:t>Impressions</w:t>
      </w:r>
    </w:p>
    <w:p w14:paraId="6C30B3E1" w14:textId="77777777" w:rsidR="00130686" w:rsidRPr="009255D7" w:rsidRDefault="00130686">
      <w:pPr>
        <w:rPr>
          <w:rFonts w:ascii="Calibri" w:hAnsi="Calibri" w:cs="Calibri"/>
          <w:b/>
          <w:color w:val="000000" w:themeColor="text1"/>
          <w:sz w:val="22"/>
          <w:szCs w:val="22"/>
          <w:u w:val="single"/>
        </w:rPr>
      </w:pPr>
    </w:p>
    <w:p w14:paraId="2371B667" w14:textId="77777777" w:rsidR="00130686" w:rsidRPr="009255D7" w:rsidRDefault="00130686">
      <w:pPr>
        <w:rPr>
          <w:rFonts w:ascii="Calibri" w:hAnsi="Calibri" w:cs="Calibri"/>
          <w:b/>
          <w:color w:val="000000" w:themeColor="text1"/>
          <w:sz w:val="22"/>
          <w:szCs w:val="22"/>
          <w:u w:val="single"/>
        </w:rPr>
      </w:pPr>
    </w:p>
    <w:p w14:paraId="5C6F440A" w14:textId="77777777" w:rsidR="00130686" w:rsidRPr="009255D7" w:rsidRDefault="00130686">
      <w:pPr>
        <w:rPr>
          <w:rFonts w:ascii="Calibri" w:hAnsi="Calibri" w:cs="Calibri"/>
          <w:b/>
          <w:color w:val="000000" w:themeColor="text1"/>
          <w:sz w:val="22"/>
          <w:szCs w:val="22"/>
          <w:u w:val="single"/>
        </w:rPr>
      </w:pPr>
    </w:p>
    <w:p w14:paraId="33921D6F" w14:textId="77777777" w:rsidR="00130686" w:rsidRPr="009255D7" w:rsidRDefault="00130686">
      <w:pPr>
        <w:rPr>
          <w:rFonts w:ascii="Calibri" w:hAnsi="Calibri" w:cs="Calibri"/>
          <w:b/>
          <w:color w:val="000000" w:themeColor="text1"/>
          <w:sz w:val="22"/>
          <w:szCs w:val="22"/>
          <w:u w:val="single"/>
        </w:rPr>
      </w:pPr>
    </w:p>
    <w:p w14:paraId="077FF116" w14:textId="77777777" w:rsidR="00130686" w:rsidRPr="009255D7" w:rsidRDefault="00130686">
      <w:pPr>
        <w:rPr>
          <w:rFonts w:ascii="Calibri" w:hAnsi="Calibri" w:cs="Calibri"/>
          <w:b/>
          <w:color w:val="000000" w:themeColor="text1"/>
          <w:sz w:val="22"/>
          <w:szCs w:val="22"/>
          <w:u w:val="single"/>
        </w:rPr>
      </w:pPr>
    </w:p>
    <w:p w14:paraId="52509097" w14:textId="77777777" w:rsidR="00130686" w:rsidRPr="009255D7" w:rsidRDefault="00130686">
      <w:pPr>
        <w:rPr>
          <w:rFonts w:ascii="Calibri" w:hAnsi="Calibri" w:cs="Calibri"/>
          <w:b/>
          <w:color w:val="000000" w:themeColor="text1"/>
          <w:sz w:val="22"/>
          <w:szCs w:val="22"/>
          <w:u w:val="single"/>
        </w:rPr>
      </w:pPr>
    </w:p>
    <w:p w14:paraId="77C7C226" w14:textId="77777777" w:rsidR="00130686" w:rsidRPr="009255D7" w:rsidRDefault="00130686">
      <w:pPr>
        <w:rPr>
          <w:rFonts w:ascii="Calibri" w:hAnsi="Calibri" w:cs="Calibri"/>
          <w:b/>
          <w:color w:val="000000" w:themeColor="text1"/>
          <w:sz w:val="22"/>
          <w:szCs w:val="22"/>
          <w:u w:val="single"/>
        </w:rPr>
      </w:pPr>
    </w:p>
    <w:p w14:paraId="45702F14" w14:textId="77777777" w:rsidR="00130686" w:rsidRPr="009255D7" w:rsidRDefault="00130686">
      <w:pPr>
        <w:rPr>
          <w:rFonts w:ascii="Calibri" w:hAnsi="Calibri" w:cs="Calibri"/>
          <w:b/>
          <w:color w:val="000000" w:themeColor="text1"/>
          <w:sz w:val="22"/>
          <w:szCs w:val="22"/>
          <w:u w:val="single"/>
        </w:rPr>
      </w:pPr>
    </w:p>
    <w:p w14:paraId="7BCAF518" w14:textId="77777777" w:rsidR="00130686" w:rsidRPr="009255D7" w:rsidRDefault="00130686">
      <w:pPr>
        <w:rPr>
          <w:rFonts w:ascii="Calibri" w:hAnsi="Calibri" w:cs="Calibri"/>
          <w:b/>
          <w:color w:val="000000" w:themeColor="text1"/>
          <w:sz w:val="22"/>
          <w:szCs w:val="22"/>
          <w:u w:val="single"/>
        </w:rPr>
      </w:pPr>
    </w:p>
    <w:p w14:paraId="342989F6" w14:textId="77777777" w:rsidR="00130686" w:rsidRPr="009255D7" w:rsidRDefault="00130686">
      <w:pPr>
        <w:rPr>
          <w:rFonts w:ascii="Calibri" w:hAnsi="Calibri" w:cs="Calibri"/>
          <w:b/>
          <w:color w:val="000000" w:themeColor="text1"/>
          <w:sz w:val="22"/>
          <w:szCs w:val="22"/>
          <w:u w:val="single"/>
        </w:rPr>
      </w:pPr>
    </w:p>
    <w:p w14:paraId="389E801A" w14:textId="77777777" w:rsidR="00130686" w:rsidRPr="009255D7" w:rsidRDefault="00130686">
      <w:pPr>
        <w:rPr>
          <w:rFonts w:ascii="Calibri" w:hAnsi="Calibri" w:cs="Calibri"/>
          <w:b/>
          <w:color w:val="000000" w:themeColor="text1"/>
          <w:sz w:val="22"/>
          <w:szCs w:val="22"/>
          <w:u w:val="single"/>
        </w:rPr>
      </w:pPr>
    </w:p>
    <w:p w14:paraId="33A54834" w14:textId="77777777" w:rsidR="00130686" w:rsidRPr="009255D7" w:rsidRDefault="00130686">
      <w:pPr>
        <w:rPr>
          <w:rFonts w:ascii="Calibri" w:hAnsi="Calibri" w:cs="Calibri"/>
          <w:b/>
          <w:color w:val="000000" w:themeColor="text1"/>
          <w:sz w:val="22"/>
          <w:szCs w:val="22"/>
          <w:u w:val="single"/>
        </w:rPr>
      </w:pPr>
    </w:p>
    <w:p w14:paraId="66CFB5CD" w14:textId="77777777" w:rsidR="00130686" w:rsidRPr="009255D7" w:rsidRDefault="00130686">
      <w:pPr>
        <w:rPr>
          <w:rFonts w:ascii="Calibri" w:hAnsi="Calibri" w:cs="Calibri"/>
          <w:b/>
          <w:color w:val="000000" w:themeColor="text1"/>
          <w:sz w:val="22"/>
          <w:szCs w:val="22"/>
          <w:u w:val="single"/>
        </w:rPr>
      </w:pPr>
    </w:p>
    <w:p w14:paraId="497E5B2E" w14:textId="77777777" w:rsidR="00130686" w:rsidRPr="009255D7" w:rsidRDefault="00130686">
      <w:pPr>
        <w:rPr>
          <w:rFonts w:ascii="Calibri" w:hAnsi="Calibri" w:cs="Calibri"/>
          <w:b/>
          <w:color w:val="000000" w:themeColor="text1"/>
          <w:sz w:val="22"/>
          <w:szCs w:val="22"/>
          <w:u w:val="single"/>
        </w:rPr>
      </w:pPr>
    </w:p>
    <w:p w14:paraId="0F7CC829" w14:textId="77777777" w:rsidR="00130686" w:rsidRPr="009255D7" w:rsidRDefault="00130686">
      <w:pPr>
        <w:rPr>
          <w:rFonts w:ascii="Calibri" w:hAnsi="Calibri" w:cs="Calibri"/>
          <w:b/>
          <w:color w:val="000000" w:themeColor="text1"/>
          <w:sz w:val="22"/>
          <w:szCs w:val="22"/>
          <w:u w:val="single"/>
        </w:rPr>
      </w:pPr>
    </w:p>
    <w:p w14:paraId="41177535" w14:textId="77777777" w:rsidR="00130686" w:rsidRPr="009255D7" w:rsidRDefault="00130686">
      <w:pPr>
        <w:rPr>
          <w:rFonts w:ascii="Calibri" w:hAnsi="Calibri" w:cs="Calibri"/>
          <w:b/>
          <w:color w:val="000000" w:themeColor="text1"/>
          <w:sz w:val="22"/>
          <w:szCs w:val="22"/>
          <w:u w:val="single"/>
        </w:rPr>
      </w:pPr>
    </w:p>
    <w:p w14:paraId="3BF84174" w14:textId="77777777" w:rsidR="00130686" w:rsidRPr="009255D7" w:rsidRDefault="00130686">
      <w:pPr>
        <w:rPr>
          <w:rFonts w:ascii="Calibri" w:hAnsi="Calibri" w:cs="Calibri"/>
          <w:b/>
          <w:color w:val="000000" w:themeColor="text1"/>
          <w:sz w:val="22"/>
          <w:szCs w:val="22"/>
          <w:u w:val="single"/>
        </w:rPr>
        <w:sectPr w:rsidR="00130686" w:rsidRPr="009255D7" w:rsidSect="00733C3A">
          <w:headerReference w:type="first" r:id="rId12"/>
          <w:pgSz w:w="12240" w:h="15840" w:code="1"/>
          <w:pgMar w:top="720" w:right="720" w:bottom="720" w:left="720" w:header="288" w:footer="720" w:gutter="0"/>
          <w:cols w:space="720"/>
          <w:titlePg/>
          <w:docGrid w:linePitch="360"/>
        </w:sectPr>
      </w:pPr>
    </w:p>
    <w:sdt>
      <w:sdtPr>
        <w:rPr>
          <w:rFonts w:asciiTheme="minorHAnsi" w:hAnsiTheme="minorHAnsi"/>
          <w:color w:val="000000" w:themeColor="text1"/>
          <w:sz w:val="22"/>
          <w:szCs w:val="22"/>
          <w:u w:val="none"/>
        </w:rPr>
        <w:id w:val="104776859"/>
        <w:docPartObj>
          <w:docPartGallery w:val="Bibliographies"/>
          <w:docPartUnique/>
        </w:docPartObj>
      </w:sdtPr>
      <w:sdtEndPr>
        <w:rPr>
          <w:sz w:val="19"/>
          <w:szCs w:val="19"/>
        </w:rPr>
      </w:sdtEndPr>
      <w:sdtContent>
        <w:p w14:paraId="3DF3D8C1" w14:textId="77777777" w:rsidR="00130686" w:rsidRPr="009255D7" w:rsidRDefault="00130686">
          <w:pPr>
            <w:pStyle w:val="Heading1"/>
            <w:rPr>
              <w:rFonts w:asciiTheme="minorHAnsi" w:hAnsiTheme="minorHAnsi"/>
              <w:color w:val="000000" w:themeColor="text1"/>
              <w:sz w:val="22"/>
              <w:szCs w:val="22"/>
            </w:rPr>
          </w:pPr>
          <w:r w:rsidRPr="009255D7">
            <w:rPr>
              <w:rFonts w:asciiTheme="minorHAnsi" w:hAnsiTheme="minorHAnsi"/>
              <w:color w:val="000000" w:themeColor="text1"/>
              <w:sz w:val="22"/>
              <w:szCs w:val="22"/>
            </w:rPr>
            <w:t>Works Cited</w:t>
          </w:r>
        </w:p>
        <w:p w14:paraId="4ECF473E" w14:textId="77777777" w:rsidR="00960A21" w:rsidRPr="009255D7" w:rsidRDefault="005052FF" w:rsidP="00D856DF">
          <w:pPr>
            <w:rPr>
              <w:rFonts w:asciiTheme="minorHAnsi" w:hAnsiTheme="minorHAnsi"/>
              <w:noProof/>
              <w:color w:val="000000" w:themeColor="text1"/>
              <w:sz w:val="19"/>
              <w:szCs w:val="19"/>
            </w:rPr>
          </w:pPr>
          <w:r w:rsidRPr="009255D7">
            <w:rPr>
              <w:rFonts w:asciiTheme="minorHAnsi" w:hAnsiTheme="minorHAnsi"/>
              <w:color w:val="000000" w:themeColor="text1"/>
              <w:sz w:val="19"/>
              <w:szCs w:val="19"/>
            </w:rPr>
            <w:fldChar w:fldCharType="begin"/>
          </w:r>
          <w:r w:rsidR="00130686" w:rsidRPr="009255D7">
            <w:rPr>
              <w:rFonts w:asciiTheme="minorHAnsi" w:hAnsiTheme="minorHAnsi"/>
              <w:color w:val="000000" w:themeColor="text1"/>
              <w:sz w:val="19"/>
              <w:szCs w:val="19"/>
            </w:rPr>
            <w:instrText xml:space="preserve"> BIBLIOGRAPHY </w:instrText>
          </w:r>
          <w:r w:rsidRPr="009255D7">
            <w:rPr>
              <w:rFonts w:asciiTheme="minorHAnsi" w:hAnsiTheme="minorHAnsi"/>
              <w:color w:val="000000" w:themeColor="text1"/>
              <w:sz w:val="19"/>
              <w:szCs w:val="19"/>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5"/>
            <w:gridCol w:w="10415"/>
          </w:tblGrid>
          <w:tr w:rsidR="009255D7" w:rsidRPr="009255D7" w14:paraId="61B2EA82" w14:textId="77777777" w:rsidTr="0035437F">
            <w:trPr>
              <w:tblCellSpacing w:w="15" w:type="dxa"/>
            </w:trPr>
            <w:tc>
              <w:tcPr>
                <w:tcW w:w="157" w:type="pct"/>
                <w:hideMark/>
              </w:tcPr>
              <w:p w14:paraId="00ECFB48" w14:textId="77777777" w:rsidR="00960A21" w:rsidRPr="009255D7" w:rsidRDefault="00960A21">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 </w:t>
                </w:r>
              </w:p>
            </w:tc>
            <w:tc>
              <w:tcPr>
                <w:tcW w:w="0" w:type="auto"/>
                <w:hideMark/>
              </w:tcPr>
              <w:p w14:paraId="1E709FE6" w14:textId="0579EDD7" w:rsidR="00960A21" w:rsidRPr="009255D7" w:rsidRDefault="0035437F" w:rsidP="009255D7">
                <w:pPr>
                  <w:pStyle w:val="Bibliography"/>
                  <w:rPr>
                    <w:rFonts w:asciiTheme="minorHAnsi" w:hAnsiTheme="minorHAnsi"/>
                    <w:noProof/>
                    <w:color w:val="000000" w:themeColor="text1"/>
                    <w:sz w:val="19"/>
                    <w:szCs w:val="19"/>
                  </w:rPr>
                </w:pPr>
                <w:r w:rsidRPr="009255D7">
                  <w:rPr>
                    <w:rFonts w:asciiTheme="minorHAnsi" w:hAnsiTheme="minorHAnsi"/>
                    <w:noProof/>
                    <w:color w:val="000000" w:themeColor="text1"/>
                    <w:sz w:val="19"/>
                    <w:szCs w:val="19"/>
                  </w:rPr>
                  <w:t xml:space="preserve">S. A. Ambrose, M. W. Bridges, M. DiPietro, M. C. Lovett and M. K. Norman, "Chapter 2: How Does the Way Students Organize Knowledge Affect Their Learning?," in </w:t>
                </w:r>
                <w:r w:rsidRPr="009255D7">
                  <w:rPr>
                    <w:rFonts w:asciiTheme="minorHAnsi" w:hAnsiTheme="minorHAnsi"/>
                    <w:i/>
                    <w:iCs/>
                    <w:noProof/>
                    <w:color w:val="000000" w:themeColor="text1"/>
                    <w:sz w:val="19"/>
                    <w:szCs w:val="19"/>
                  </w:rPr>
                  <w:t>How Learning Works: Seven Research-Based Principles for Smart Teaching</w:t>
                </w:r>
                <w:r w:rsidRPr="009255D7">
                  <w:rPr>
                    <w:rFonts w:asciiTheme="minorHAnsi" w:hAnsiTheme="minorHAnsi"/>
                    <w:noProof/>
                    <w:color w:val="000000" w:themeColor="text1"/>
                    <w:sz w:val="19"/>
                    <w:szCs w:val="19"/>
                  </w:rPr>
                  <w:t xml:space="preserve">, Hoboken, New Jersey: Jossey-Bass, 2010. </w:t>
                </w:r>
              </w:p>
            </w:tc>
          </w:tr>
          <w:tr w:rsidR="009255D7" w:rsidRPr="009255D7" w14:paraId="1D715662" w14:textId="77777777" w:rsidTr="0035437F">
            <w:trPr>
              <w:tblCellSpacing w:w="15" w:type="dxa"/>
            </w:trPr>
            <w:tc>
              <w:tcPr>
                <w:tcW w:w="157" w:type="pct"/>
                <w:hideMark/>
              </w:tcPr>
              <w:p w14:paraId="27DB6C29" w14:textId="77777777" w:rsidR="0035437F" w:rsidRPr="009255D7" w:rsidRDefault="0035437F" w:rsidP="0035437F">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[2] </w:t>
                </w:r>
              </w:p>
            </w:tc>
            <w:tc>
              <w:tcPr>
                <w:tcW w:w="0" w:type="auto"/>
                <w:hideMark/>
              </w:tcPr>
              <w:p w14:paraId="27D1247B" w14:textId="07066B56" w:rsidR="0035437F" w:rsidRPr="009255D7" w:rsidRDefault="0035437F" w:rsidP="0035437F">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S. A. Ambrose, M. W. Bridges, M. DiPietro, M. C. Lovett and M. K. Norman, "Chapter 5: What Kinds of Practice and Feedback Enhance Learning?," in </w:t>
                </w:r>
                <w:r w:rsidRPr="009255D7">
                  <w:rPr>
                    <w:rFonts w:asciiTheme="minorHAnsi" w:hAnsiTheme="minorHAnsi"/>
                    <w:i/>
                    <w:iCs/>
                    <w:noProof/>
                    <w:color w:val="000000" w:themeColor="text1"/>
                    <w:sz w:val="19"/>
                    <w:szCs w:val="19"/>
                  </w:rPr>
                  <w:t>How Learning Works: Seven Research-Based Principles for Smart Teaching</w:t>
                </w:r>
                <w:r w:rsidRPr="009255D7">
                  <w:rPr>
                    <w:rFonts w:asciiTheme="minorHAnsi" w:hAnsiTheme="minorHAnsi"/>
                    <w:noProof/>
                    <w:color w:val="000000" w:themeColor="text1"/>
                    <w:sz w:val="19"/>
                    <w:szCs w:val="19"/>
                  </w:rPr>
                  <w:t xml:space="preserve">, Hoboken, New Jersey: Jossey-Bass, 2010. </w:t>
                </w:r>
              </w:p>
            </w:tc>
          </w:tr>
          <w:tr w:rsidR="009255D7" w:rsidRPr="009255D7" w14:paraId="75AD0996" w14:textId="77777777" w:rsidTr="0035437F">
            <w:trPr>
              <w:tblCellSpacing w:w="15" w:type="dxa"/>
            </w:trPr>
            <w:tc>
              <w:tcPr>
                <w:tcW w:w="157" w:type="pct"/>
                <w:hideMark/>
              </w:tcPr>
              <w:p w14:paraId="200B9CF5" w14:textId="5D44D705" w:rsidR="00643530" w:rsidRPr="009255D7" w:rsidRDefault="00643530" w:rsidP="00643530">
                <w:pPr>
                  <w:pStyle w:val="Bibliography"/>
                  <w:rPr>
                    <w:rFonts w:asciiTheme="minorHAnsi" w:eastAsiaTheme="minorEastAsia" w:hAnsiTheme="minorHAnsi"/>
                    <w:noProof/>
                    <w:color w:val="000000" w:themeColor="text1"/>
                    <w:sz w:val="19"/>
                    <w:szCs w:val="19"/>
                  </w:rPr>
                </w:pPr>
                <w:r w:rsidRPr="009255D7">
                  <w:rPr>
                    <w:rFonts w:asciiTheme="minorHAnsi" w:eastAsiaTheme="minorEastAsia" w:hAnsiTheme="minorHAnsi"/>
                    <w:noProof/>
                    <w:color w:val="000000" w:themeColor="text1"/>
                    <w:sz w:val="19"/>
                    <w:szCs w:val="19"/>
                  </w:rPr>
                  <w:t>[3]</w:t>
                </w:r>
              </w:p>
            </w:tc>
            <w:tc>
              <w:tcPr>
                <w:tcW w:w="0" w:type="auto"/>
                <w:hideMark/>
              </w:tcPr>
              <w:p w14:paraId="7891350C" w14:textId="64802922" w:rsidR="00643530" w:rsidRPr="009255D7" w:rsidRDefault="00643530" w:rsidP="00643530">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L. Nilson, Teaching at Its Best: A Research-Based Resource for College Instructors, 3rd ed., San Francisco: Jossey-Bass, 2010. </w:t>
                </w:r>
              </w:p>
            </w:tc>
          </w:tr>
          <w:tr w:rsidR="009255D7" w:rsidRPr="009255D7" w14:paraId="709A1851" w14:textId="77777777" w:rsidTr="0035437F">
            <w:trPr>
              <w:tblCellSpacing w:w="15" w:type="dxa"/>
            </w:trPr>
            <w:tc>
              <w:tcPr>
                <w:tcW w:w="157" w:type="pct"/>
                <w:hideMark/>
              </w:tcPr>
              <w:p w14:paraId="0A55C5FE" w14:textId="77777777" w:rsidR="00643530" w:rsidRPr="009255D7" w:rsidRDefault="00643530" w:rsidP="00643530">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[4] </w:t>
                </w:r>
              </w:p>
            </w:tc>
            <w:tc>
              <w:tcPr>
                <w:tcW w:w="0" w:type="auto"/>
              </w:tcPr>
              <w:p w14:paraId="1799568D" w14:textId="314E3175" w:rsidR="001A610C" w:rsidRPr="009255D7" w:rsidRDefault="00643530" w:rsidP="001A610C">
                <w:pPr>
                  <w:pStyle w:val="Bibliography"/>
                  <w:rPr>
                    <w:rFonts w:asciiTheme="minorHAnsi" w:hAnsiTheme="minorHAnsi"/>
                    <w:noProof/>
                    <w:color w:val="000000" w:themeColor="text1"/>
                    <w:sz w:val="19"/>
                    <w:szCs w:val="19"/>
                  </w:rPr>
                </w:pPr>
                <w:r w:rsidRPr="009255D7">
                  <w:rPr>
                    <w:rFonts w:asciiTheme="minorHAnsi" w:hAnsiTheme="minorHAnsi"/>
                    <w:noProof/>
                    <w:color w:val="000000" w:themeColor="text1"/>
                    <w:sz w:val="19"/>
                    <w:szCs w:val="19"/>
                  </w:rPr>
                  <w:t xml:space="preserve">D. M. Christophel, "The Relationships Among Teacher Immediacy Behaviors, Student Motivation, and Learning," </w:t>
                </w:r>
                <w:r w:rsidRPr="009255D7">
                  <w:rPr>
                    <w:rFonts w:asciiTheme="minorHAnsi" w:hAnsiTheme="minorHAnsi"/>
                    <w:i/>
                    <w:iCs/>
                    <w:noProof/>
                    <w:color w:val="000000" w:themeColor="text1"/>
                    <w:sz w:val="19"/>
                    <w:szCs w:val="19"/>
                  </w:rPr>
                  <w:t xml:space="preserve">Communication Education, </w:t>
                </w:r>
                <w:r w:rsidRPr="009255D7">
                  <w:rPr>
                    <w:rFonts w:asciiTheme="minorHAnsi" w:hAnsiTheme="minorHAnsi"/>
                    <w:noProof/>
                    <w:color w:val="000000" w:themeColor="text1"/>
                    <w:sz w:val="19"/>
                    <w:szCs w:val="19"/>
                  </w:rPr>
                  <w:t>vol. 39, no. 4, pp. 323-340, 1990.</w:t>
                </w:r>
              </w:p>
            </w:tc>
          </w:tr>
          <w:tr w:rsidR="009255D7" w:rsidRPr="009255D7" w14:paraId="2CB2D02D" w14:textId="77777777" w:rsidTr="0035437F">
            <w:trPr>
              <w:tblCellSpacing w:w="15" w:type="dxa"/>
            </w:trPr>
            <w:tc>
              <w:tcPr>
                <w:tcW w:w="157" w:type="pct"/>
                <w:hideMark/>
              </w:tcPr>
              <w:p w14:paraId="62A3C4FF" w14:textId="77777777" w:rsidR="001A610C" w:rsidRPr="009255D7" w:rsidRDefault="001A610C" w:rsidP="001A610C">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[5] </w:t>
                </w:r>
              </w:p>
            </w:tc>
            <w:tc>
              <w:tcPr>
                <w:tcW w:w="0" w:type="auto"/>
                <w:hideMark/>
              </w:tcPr>
              <w:p w14:paraId="3FC9684B" w14:textId="75DC7E16" w:rsidR="001A610C" w:rsidRPr="009255D7" w:rsidRDefault="001A610C" w:rsidP="001A610C">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J. Handelsman, S. Miller and C. Pfund, "Chapter 4: Diversity," in </w:t>
                </w:r>
                <w:r w:rsidRPr="009255D7">
                  <w:rPr>
                    <w:rFonts w:asciiTheme="minorHAnsi" w:hAnsiTheme="minorHAnsi"/>
                    <w:i/>
                    <w:iCs/>
                    <w:noProof/>
                    <w:color w:val="000000" w:themeColor="text1"/>
                    <w:sz w:val="19"/>
                    <w:szCs w:val="19"/>
                  </w:rPr>
                  <w:t>Scientific Teaching</w:t>
                </w:r>
                <w:r w:rsidRPr="009255D7">
                  <w:rPr>
                    <w:rFonts w:asciiTheme="minorHAnsi" w:hAnsiTheme="minorHAnsi"/>
                    <w:noProof/>
                    <w:color w:val="000000" w:themeColor="text1"/>
                    <w:sz w:val="19"/>
                    <w:szCs w:val="19"/>
                  </w:rPr>
                  <w:t xml:space="preserve">, New York, W. H. Freeman, 2007. </w:t>
                </w:r>
              </w:p>
            </w:tc>
          </w:tr>
          <w:tr w:rsidR="009255D7" w:rsidRPr="009255D7" w14:paraId="4AC46EAE" w14:textId="77777777" w:rsidTr="0035437F">
            <w:trPr>
              <w:tblCellSpacing w:w="15" w:type="dxa"/>
            </w:trPr>
            <w:tc>
              <w:tcPr>
                <w:tcW w:w="157" w:type="pct"/>
                <w:hideMark/>
              </w:tcPr>
              <w:p w14:paraId="62E91A66" w14:textId="77777777" w:rsidR="001A610C" w:rsidRPr="009255D7" w:rsidRDefault="001A610C" w:rsidP="001A610C">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[6] </w:t>
                </w:r>
              </w:p>
            </w:tc>
            <w:tc>
              <w:tcPr>
                <w:tcW w:w="0" w:type="auto"/>
                <w:hideMark/>
              </w:tcPr>
              <w:p w14:paraId="23A6A2E8" w14:textId="271904A9" w:rsidR="001A610C" w:rsidRPr="009255D7" w:rsidRDefault="001A610C" w:rsidP="00A17977">
                <w:pPr>
                  <w:pStyle w:val="Bibliography"/>
                  <w:rPr>
                    <w:rFonts w:asciiTheme="minorHAnsi" w:hAnsiTheme="minorHAnsi"/>
                    <w:noProof/>
                    <w:color w:val="000000" w:themeColor="text1"/>
                    <w:sz w:val="19"/>
                    <w:szCs w:val="19"/>
                  </w:rPr>
                </w:pPr>
                <w:r w:rsidRPr="009255D7">
                  <w:rPr>
                    <w:rFonts w:asciiTheme="minorHAnsi" w:hAnsiTheme="minorHAnsi"/>
                    <w:noProof/>
                    <w:color w:val="000000" w:themeColor="text1"/>
                    <w:sz w:val="19"/>
                    <w:szCs w:val="19"/>
                  </w:rPr>
                  <w:t xml:space="preserve">S. A. Ambrose, M. W. Bridges, M. DiPietro, M. C. Lovett and M. K. Norman, "Chapter 6: Why Do Student Development and Course Climate Matter for Student Learning?," in </w:t>
                </w:r>
                <w:r w:rsidRPr="009255D7">
                  <w:rPr>
                    <w:rFonts w:asciiTheme="minorHAnsi" w:hAnsiTheme="minorHAnsi"/>
                    <w:i/>
                    <w:iCs/>
                    <w:noProof/>
                    <w:color w:val="000000" w:themeColor="text1"/>
                    <w:sz w:val="19"/>
                    <w:szCs w:val="19"/>
                  </w:rPr>
                  <w:t>How Learning Works: Seven Research-Based Principles for Smart Teaching</w:t>
                </w:r>
                <w:r w:rsidRPr="009255D7">
                  <w:rPr>
                    <w:rFonts w:asciiTheme="minorHAnsi" w:hAnsiTheme="minorHAnsi"/>
                    <w:noProof/>
                    <w:color w:val="000000" w:themeColor="text1"/>
                    <w:sz w:val="19"/>
                    <w:szCs w:val="19"/>
                  </w:rPr>
                  <w:t xml:space="preserve">, Hoboken, New Jersey: Jossey-Bass, 2010. </w:t>
                </w:r>
              </w:p>
            </w:tc>
          </w:tr>
          <w:tr w:rsidR="009255D7" w:rsidRPr="009255D7" w14:paraId="1FD952BC" w14:textId="77777777" w:rsidTr="0035437F">
            <w:trPr>
              <w:tblCellSpacing w:w="15" w:type="dxa"/>
            </w:trPr>
            <w:tc>
              <w:tcPr>
                <w:tcW w:w="157" w:type="pct"/>
                <w:hideMark/>
              </w:tcPr>
              <w:p w14:paraId="6CD6DF3A" w14:textId="77777777" w:rsidR="001A610C" w:rsidRPr="009255D7" w:rsidRDefault="001A610C" w:rsidP="001A610C">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[7] </w:t>
                </w:r>
              </w:p>
            </w:tc>
            <w:tc>
              <w:tcPr>
                <w:tcW w:w="0" w:type="auto"/>
                <w:hideMark/>
              </w:tcPr>
              <w:p w14:paraId="0A3EA1FE" w14:textId="7A080A59" w:rsidR="001A610C" w:rsidRPr="009255D7" w:rsidRDefault="001A610C" w:rsidP="001A610C">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S. L. Eddy, S. E. Brownell and M. P. Wenderoth, "Gender Gaps in Achievement and Participation in Multiple Introductory Biology Classrooms," </w:t>
                </w:r>
                <w:r w:rsidRPr="009255D7">
                  <w:rPr>
                    <w:rFonts w:asciiTheme="minorHAnsi" w:hAnsiTheme="minorHAnsi"/>
                    <w:i/>
                    <w:iCs/>
                    <w:noProof/>
                    <w:color w:val="000000" w:themeColor="text1"/>
                    <w:sz w:val="19"/>
                    <w:szCs w:val="19"/>
                  </w:rPr>
                  <w:t xml:space="preserve">CBE-Life Sciences Education, </w:t>
                </w:r>
                <w:r w:rsidRPr="009255D7">
                  <w:rPr>
                    <w:rFonts w:asciiTheme="minorHAnsi" w:hAnsiTheme="minorHAnsi"/>
                    <w:noProof/>
                    <w:color w:val="000000" w:themeColor="text1"/>
                    <w:sz w:val="19"/>
                    <w:szCs w:val="19"/>
                  </w:rPr>
                  <w:t xml:space="preserve">vol. 13, no. 3, pp. 478-492, 2014. </w:t>
                </w:r>
              </w:p>
            </w:tc>
          </w:tr>
          <w:tr w:rsidR="009255D7" w:rsidRPr="009255D7" w14:paraId="25CCB017" w14:textId="77777777" w:rsidTr="0035437F">
            <w:trPr>
              <w:tblCellSpacing w:w="15" w:type="dxa"/>
            </w:trPr>
            <w:tc>
              <w:tcPr>
                <w:tcW w:w="157" w:type="pct"/>
                <w:hideMark/>
              </w:tcPr>
              <w:p w14:paraId="6F47B862" w14:textId="77777777" w:rsidR="001A610C" w:rsidRPr="009255D7" w:rsidRDefault="001A610C" w:rsidP="001A610C">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[8] </w:t>
                </w:r>
              </w:p>
            </w:tc>
            <w:tc>
              <w:tcPr>
                <w:tcW w:w="0" w:type="auto"/>
                <w:hideMark/>
              </w:tcPr>
              <w:p w14:paraId="2D796962" w14:textId="71E7E1F0" w:rsidR="001A610C" w:rsidRPr="009255D7" w:rsidRDefault="001A610C" w:rsidP="009255D7">
                <w:pPr>
                  <w:pStyle w:val="Bibliography"/>
                  <w:rPr>
                    <w:rFonts w:asciiTheme="minorHAnsi" w:hAnsiTheme="minorHAnsi"/>
                    <w:noProof/>
                    <w:color w:val="000000" w:themeColor="text1"/>
                    <w:sz w:val="19"/>
                    <w:szCs w:val="19"/>
                  </w:rPr>
                </w:pPr>
                <w:r w:rsidRPr="009255D7">
                  <w:rPr>
                    <w:rFonts w:asciiTheme="minorHAnsi" w:hAnsiTheme="minorHAnsi"/>
                    <w:noProof/>
                    <w:color w:val="000000" w:themeColor="text1"/>
                    <w:sz w:val="19"/>
                    <w:szCs w:val="19"/>
                  </w:rPr>
                  <w:t xml:space="preserve">C. Moss-Racusin, J. F. Dovidio, V. L. Brescoll, M. J. Graham and J. Handelsman, "Science Faculty's Subtle Gender Biases Favor Male Students," </w:t>
                </w:r>
                <w:r w:rsidRPr="009255D7">
                  <w:rPr>
                    <w:rFonts w:asciiTheme="minorHAnsi" w:hAnsiTheme="minorHAnsi"/>
                    <w:i/>
                    <w:iCs/>
                    <w:noProof/>
                    <w:color w:val="000000" w:themeColor="text1"/>
                    <w:sz w:val="19"/>
                    <w:szCs w:val="19"/>
                  </w:rPr>
                  <w:t xml:space="preserve">Proceedings of the National Academy of Sciences, </w:t>
                </w:r>
                <w:r w:rsidRPr="009255D7">
                  <w:rPr>
                    <w:rFonts w:asciiTheme="minorHAnsi" w:hAnsiTheme="minorHAnsi"/>
                    <w:noProof/>
                    <w:color w:val="000000" w:themeColor="text1"/>
                    <w:sz w:val="19"/>
                    <w:szCs w:val="19"/>
                  </w:rPr>
                  <w:t>vol. 109, no. 41, pp. 16474-16479, 2012.</w:t>
                </w:r>
              </w:p>
            </w:tc>
          </w:tr>
          <w:tr w:rsidR="009255D7" w:rsidRPr="009255D7" w14:paraId="5726D044" w14:textId="77777777" w:rsidTr="001A610C">
            <w:trPr>
              <w:tblCellSpacing w:w="15" w:type="dxa"/>
            </w:trPr>
            <w:tc>
              <w:tcPr>
                <w:tcW w:w="157" w:type="pct"/>
                <w:hideMark/>
              </w:tcPr>
              <w:p w14:paraId="388C33E1"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[9] </w:t>
                </w:r>
              </w:p>
            </w:tc>
            <w:tc>
              <w:tcPr>
                <w:tcW w:w="0" w:type="auto"/>
              </w:tcPr>
              <w:p w14:paraId="75AF0A30" w14:textId="2529B906"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S. A. Ambrose, M. W. Bridges, M. DiPietro, M. C. Lovett and M. K. Norman, "Chapter 1: How Does Students' Prior Knowledge Affect Their Learning?," in </w:t>
                </w:r>
                <w:r w:rsidRPr="009255D7">
                  <w:rPr>
                    <w:rFonts w:asciiTheme="minorHAnsi" w:hAnsiTheme="minorHAnsi"/>
                    <w:i/>
                    <w:iCs/>
                    <w:noProof/>
                    <w:color w:val="000000" w:themeColor="text1"/>
                    <w:sz w:val="19"/>
                    <w:szCs w:val="19"/>
                  </w:rPr>
                  <w:t>How Learning Works: Seven Research-Based Principles for Smart Teaching</w:t>
                </w:r>
                <w:r w:rsidRPr="009255D7">
                  <w:rPr>
                    <w:rFonts w:asciiTheme="minorHAnsi" w:hAnsiTheme="minorHAnsi"/>
                    <w:noProof/>
                    <w:color w:val="000000" w:themeColor="text1"/>
                    <w:sz w:val="19"/>
                    <w:szCs w:val="19"/>
                  </w:rPr>
                  <w:t xml:space="preserve">, Hoboken, New Jersey: Jossey-Bass, 2010. </w:t>
                </w:r>
              </w:p>
            </w:tc>
          </w:tr>
          <w:tr w:rsidR="009255D7" w:rsidRPr="009255D7" w14:paraId="47963876" w14:textId="77777777" w:rsidTr="001A610C">
            <w:trPr>
              <w:tblCellSpacing w:w="15" w:type="dxa"/>
            </w:trPr>
            <w:tc>
              <w:tcPr>
                <w:tcW w:w="157" w:type="pct"/>
                <w:hideMark/>
              </w:tcPr>
              <w:p w14:paraId="0710B239"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[10] </w:t>
                </w:r>
              </w:p>
            </w:tc>
            <w:tc>
              <w:tcPr>
                <w:tcW w:w="0" w:type="auto"/>
              </w:tcPr>
              <w:p w14:paraId="2691EF4E" w14:textId="362C6A46"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S. A. Ambrose, M. W. Bridges, M. Di Pietro, M. C. Lovett and M. K. Norman, "Chapter 4: How Do Students Develop Mastery?," in </w:t>
                </w:r>
                <w:r w:rsidRPr="009255D7">
                  <w:rPr>
                    <w:rFonts w:asciiTheme="minorHAnsi" w:hAnsiTheme="minorHAnsi"/>
                    <w:i/>
                    <w:iCs/>
                    <w:noProof/>
                    <w:color w:val="000000" w:themeColor="text1"/>
                    <w:sz w:val="19"/>
                    <w:szCs w:val="19"/>
                  </w:rPr>
                  <w:t>How Learning Works: Seven Research-Based Principles for Smart Teaching</w:t>
                </w:r>
                <w:r w:rsidRPr="009255D7">
                  <w:rPr>
                    <w:rFonts w:asciiTheme="minorHAnsi" w:hAnsiTheme="minorHAnsi"/>
                    <w:noProof/>
                    <w:color w:val="000000" w:themeColor="text1"/>
                    <w:sz w:val="19"/>
                    <w:szCs w:val="19"/>
                  </w:rPr>
                  <w:t xml:space="preserve">, Hoboken, New Jersey: Jossey-Bass, 2010. </w:t>
                </w:r>
              </w:p>
            </w:tc>
          </w:tr>
          <w:tr w:rsidR="009255D7" w:rsidRPr="009255D7" w14:paraId="4CEDB21F" w14:textId="77777777" w:rsidTr="00643530">
            <w:trPr>
              <w:tblCellSpacing w:w="15" w:type="dxa"/>
            </w:trPr>
            <w:tc>
              <w:tcPr>
                <w:tcW w:w="157" w:type="pct"/>
                <w:hideMark/>
              </w:tcPr>
              <w:p w14:paraId="6900D863"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[11] </w:t>
                </w:r>
              </w:p>
            </w:tc>
            <w:tc>
              <w:tcPr>
                <w:tcW w:w="0" w:type="auto"/>
              </w:tcPr>
              <w:p w14:paraId="607A3FC7" w14:textId="7F2949E7" w:rsidR="00A17977" w:rsidRPr="009255D7" w:rsidRDefault="00A17977" w:rsidP="009255D7">
                <w:pPr>
                  <w:pStyle w:val="Bibliography"/>
                  <w:rPr>
                    <w:rFonts w:asciiTheme="minorHAnsi" w:hAnsiTheme="minorHAnsi"/>
                    <w:noProof/>
                    <w:color w:val="000000" w:themeColor="text1"/>
                    <w:sz w:val="19"/>
                    <w:szCs w:val="19"/>
                  </w:rPr>
                </w:pPr>
                <w:r w:rsidRPr="009255D7">
                  <w:rPr>
                    <w:rFonts w:asciiTheme="minorHAnsi" w:hAnsiTheme="minorHAnsi"/>
                    <w:noProof/>
                    <w:color w:val="000000" w:themeColor="text1"/>
                    <w:sz w:val="19"/>
                    <w:szCs w:val="19"/>
                  </w:rPr>
                  <w:t xml:space="preserve">S. A. Ambrose, M. W. Bridges, M. DiPietro, M. C. Lovett and M. K. Norman, "Chapter 3: What Factors Motivate Students to Learn?," in </w:t>
                </w:r>
                <w:r w:rsidRPr="009255D7">
                  <w:rPr>
                    <w:rFonts w:asciiTheme="minorHAnsi" w:hAnsiTheme="minorHAnsi"/>
                    <w:i/>
                    <w:iCs/>
                    <w:noProof/>
                    <w:color w:val="000000" w:themeColor="text1"/>
                    <w:sz w:val="19"/>
                    <w:szCs w:val="19"/>
                  </w:rPr>
                  <w:t>How Learning Works: Seven Research-Based Principles for Smart Teaching</w:t>
                </w:r>
                <w:r w:rsidRPr="009255D7">
                  <w:rPr>
                    <w:rFonts w:asciiTheme="minorHAnsi" w:hAnsiTheme="minorHAnsi"/>
                    <w:noProof/>
                    <w:color w:val="000000" w:themeColor="text1"/>
                    <w:sz w:val="19"/>
                    <w:szCs w:val="19"/>
                  </w:rPr>
                  <w:t xml:space="preserve">, Hoboken, New Jersey: Jossey-Bass, 2010. </w:t>
                </w:r>
              </w:p>
            </w:tc>
          </w:tr>
          <w:tr w:rsidR="009255D7" w:rsidRPr="009255D7" w14:paraId="03DFE5F6" w14:textId="77777777" w:rsidTr="0035437F">
            <w:trPr>
              <w:tblCellSpacing w:w="15" w:type="dxa"/>
            </w:trPr>
            <w:tc>
              <w:tcPr>
                <w:tcW w:w="157" w:type="pct"/>
                <w:hideMark/>
              </w:tcPr>
              <w:p w14:paraId="55D740A1"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[12] </w:t>
                </w:r>
              </w:p>
            </w:tc>
            <w:tc>
              <w:tcPr>
                <w:tcW w:w="0" w:type="auto"/>
                <w:hideMark/>
              </w:tcPr>
              <w:p w14:paraId="3DD73382" w14:textId="2B9052E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J. H. Kuznekoff and B. S. Titsworth, "The Impact of Mobile Phone Usage on Student Learning," </w:t>
                </w:r>
                <w:r w:rsidRPr="009255D7">
                  <w:rPr>
                    <w:rFonts w:asciiTheme="minorHAnsi" w:hAnsiTheme="minorHAnsi"/>
                    <w:i/>
                    <w:iCs/>
                    <w:noProof/>
                    <w:color w:val="000000" w:themeColor="text1"/>
                    <w:sz w:val="19"/>
                    <w:szCs w:val="19"/>
                  </w:rPr>
                  <w:t xml:space="preserve">Communication Education, </w:t>
                </w:r>
                <w:r w:rsidRPr="009255D7">
                  <w:rPr>
                    <w:rFonts w:asciiTheme="minorHAnsi" w:hAnsiTheme="minorHAnsi"/>
                    <w:noProof/>
                    <w:color w:val="000000" w:themeColor="text1"/>
                    <w:sz w:val="19"/>
                    <w:szCs w:val="19"/>
                  </w:rPr>
                  <w:t xml:space="preserve">vol. 62, no. 3, pp. 233-252, 2013. </w:t>
                </w:r>
              </w:p>
            </w:tc>
          </w:tr>
          <w:tr w:rsidR="009255D7" w:rsidRPr="009255D7" w14:paraId="2ED62AB3" w14:textId="77777777" w:rsidTr="0035437F">
            <w:trPr>
              <w:tblCellSpacing w:w="15" w:type="dxa"/>
            </w:trPr>
            <w:tc>
              <w:tcPr>
                <w:tcW w:w="157" w:type="pct"/>
                <w:hideMark/>
              </w:tcPr>
              <w:p w14:paraId="3F85B8C7"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[13] </w:t>
                </w:r>
              </w:p>
            </w:tc>
            <w:tc>
              <w:tcPr>
                <w:tcW w:w="0" w:type="auto"/>
                <w:hideMark/>
              </w:tcPr>
              <w:p w14:paraId="080E7CCB" w14:textId="22CDE5F1"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C. B. Fried, "In-Class Laptop Use and Its Effects on Student Learning," </w:t>
                </w:r>
                <w:r w:rsidRPr="009255D7">
                  <w:rPr>
                    <w:rFonts w:asciiTheme="minorHAnsi" w:hAnsiTheme="minorHAnsi"/>
                    <w:i/>
                    <w:iCs/>
                    <w:noProof/>
                    <w:color w:val="000000" w:themeColor="text1"/>
                    <w:sz w:val="19"/>
                    <w:szCs w:val="19"/>
                  </w:rPr>
                  <w:t xml:space="preserve">Computers &amp; Education, </w:t>
                </w:r>
                <w:r w:rsidRPr="009255D7">
                  <w:rPr>
                    <w:rFonts w:asciiTheme="minorHAnsi" w:hAnsiTheme="minorHAnsi"/>
                    <w:noProof/>
                    <w:color w:val="000000" w:themeColor="text1"/>
                    <w:sz w:val="19"/>
                    <w:szCs w:val="19"/>
                  </w:rPr>
                  <w:t xml:space="preserve">vol. 50, no. 4, pp. 906-914, 2008. </w:t>
                </w:r>
              </w:p>
            </w:tc>
          </w:tr>
          <w:tr w:rsidR="009255D7" w:rsidRPr="009255D7" w14:paraId="47056A4B" w14:textId="77777777" w:rsidTr="0035437F">
            <w:trPr>
              <w:tblCellSpacing w:w="15" w:type="dxa"/>
            </w:trPr>
            <w:tc>
              <w:tcPr>
                <w:tcW w:w="157" w:type="pct"/>
                <w:hideMark/>
              </w:tcPr>
              <w:p w14:paraId="6930DC48"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[14] </w:t>
                </w:r>
              </w:p>
            </w:tc>
            <w:tc>
              <w:tcPr>
                <w:tcW w:w="0" w:type="auto"/>
                <w:hideMark/>
              </w:tcPr>
              <w:p w14:paraId="127FAC65" w14:textId="0A8F7FED"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B. S. Titsworth and K. A. Kiewra, "Spoken Organizational Lecture Cues and Student Notetaking as Facilitators of Student Learning," </w:t>
                </w:r>
                <w:r w:rsidRPr="009255D7">
                  <w:rPr>
                    <w:rFonts w:asciiTheme="minorHAnsi" w:hAnsiTheme="minorHAnsi"/>
                    <w:i/>
                    <w:iCs/>
                    <w:noProof/>
                    <w:color w:val="000000" w:themeColor="text1"/>
                    <w:sz w:val="19"/>
                    <w:szCs w:val="19"/>
                  </w:rPr>
                  <w:t xml:space="preserve">Contemporary Educational Psychology, </w:t>
                </w:r>
                <w:r w:rsidRPr="009255D7">
                  <w:rPr>
                    <w:rFonts w:asciiTheme="minorHAnsi" w:hAnsiTheme="minorHAnsi"/>
                    <w:noProof/>
                    <w:color w:val="000000" w:themeColor="text1"/>
                    <w:sz w:val="19"/>
                    <w:szCs w:val="19"/>
                  </w:rPr>
                  <w:t xml:space="preserve">vol. 29, no. 4, pp. 447-461, 2004. </w:t>
                </w:r>
              </w:p>
            </w:tc>
          </w:tr>
          <w:tr w:rsidR="009255D7" w:rsidRPr="009255D7" w14:paraId="44E74FBB" w14:textId="77777777" w:rsidTr="0035437F">
            <w:trPr>
              <w:tblCellSpacing w:w="15" w:type="dxa"/>
            </w:trPr>
            <w:tc>
              <w:tcPr>
                <w:tcW w:w="157" w:type="pct"/>
                <w:hideMark/>
              </w:tcPr>
              <w:p w14:paraId="35CBA3A7"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[15] </w:t>
                </w:r>
              </w:p>
            </w:tc>
            <w:tc>
              <w:tcPr>
                <w:tcW w:w="0" w:type="auto"/>
                <w:hideMark/>
              </w:tcPr>
              <w:p w14:paraId="6052006D" w14:textId="26DE035C"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C. E. Abrahamson, "Storytelling as a Pedagogical Tool in Higher Education," </w:t>
                </w:r>
                <w:r w:rsidRPr="009255D7">
                  <w:rPr>
                    <w:rFonts w:asciiTheme="minorHAnsi" w:hAnsiTheme="minorHAnsi"/>
                    <w:i/>
                    <w:iCs/>
                    <w:noProof/>
                    <w:color w:val="000000" w:themeColor="text1"/>
                    <w:sz w:val="19"/>
                    <w:szCs w:val="19"/>
                  </w:rPr>
                  <w:t xml:space="preserve">Education, </w:t>
                </w:r>
                <w:r w:rsidRPr="009255D7">
                  <w:rPr>
                    <w:rFonts w:asciiTheme="minorHAnsi" w:hAnsiTheme="minorHAnsi"/>
                    <w:noProof/>
                    <w:color w:val="000000" w:themeColor="text1"/>
                    <w:sz w:val="19"/>
                    <w:szCs w:val="19"/>
                  </w:rPr>
                  <w:t>vol. 118, no. 3, pp. 440-451, 1998.</w:t>
                </w:r>
              </w:p>
            </w:tc>
          </w:tr>
          <w:tr w:rsidR="009255D7" w:rsidRPr="009255D7" w14:paraId="328BB02E" w14:textId="77777777" w:rsidTr="001A610C">
            <w:trPr>
              <w:tblCellSpacing w:w="15" w:type="dxa"/>
            </w:trPr>
            <w:tc>
              <w:tcPr>
                <w:tcW w:w="157" w:type="pct"/>
                <w:hideMark/>
              </w:tcPr>
              <w:p w14:paraId="78EA959E"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[16] </w:t>
                </w:r>
              </w:p>
            </w:tc>
            <w:tc>
              <w:tcPr>
                <w:tcW w:w="0" w:type="auto"/>
              </w:tcPr>
              <w:p w14:paraId="5A7AC2B0" w14:textId="05D49D31"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C. F. Herreid, Ed., Start With a Story: The Case Study Method of Teachign College Science, Arlington, Virginia: NSTA Press, 2007.</w:t>
                </w:r>
              </w:p>
            </w:tc>
          </w:tr>
          <w:tr w:rsidR="009255D7" w:rsidRPr="009255D7" w14:paraId="5A112CC1" w14:textId="77777777" w:rsidTr="0035437F">
            <w:trPr>
              <w:tblCellSpacing w:w="15" w:type="dxa"/>
            </w:trPr>
            <w:tc>
              <w:tcPr>
                <w:tcW w:w="157" w:type="pct"/>
                <w:hideMark/>
              </w:tcPr>
              <w:p w14:paraId="33F2B12C"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[17] </w:t>
                </w:r>
              </w:p>
            </w:tc>
            <w:tc>
              <w:tcPr>
                <w:tcW w:w="0" w:type="auto"/>
                <w:hideMark/>
              </w:tcPr>
              <w:p w14:paraId="0083C45F" w14:textId="31A5F23A" w:rsidR="00A17977" w:rsidRPr="009255D7" w:rsidRDefault="009255D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J. B. Biggs and C. Tang, Teaching for Quality Learning at University: What the Student Does, 4th ed., Maidenhead, Berkshire: Open University Press, 2011.</w:t>
                </w:r>
              </w:p>
            </w:tc>
          </w:tr>
          <w:tr w:rsidR="009255D7" w:rsidRPr="009255D7" w14:paraId="05C00B7B" w14:textId="77777777" w:rsidTr="0035437F">
            <w:trPr>
              <w:tblCellSpacing w:w="15" w:type="dxa"/>
            </w:trPr>
            <w:tc>
              <w:tcPr>
                <w:tcW w:w="157" w:type="pct"/>
                <w:hideMark/>
              </w:tcPr>
              <w:p w14:paraId="5FEEC373"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[18] </w:t>
                </w:r>
              </w:p>
            </w:tc>
            <w:tc>
              <w:tcPr>
                <w:tcW w:w="0" w:type="auto"/>
                <w:hideMark/>
              </w:tcPr>
              <w:p w14:paraId="65CD0830" w14:textId="67D396DE" w:rsidR="00A17977" w:rsidRPr="009255D7" w:rsidRDefault="009255D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G. Wiggins and J. McTighe, Understanding by Design, 2nd ed., Alexandria, Virginia: Association for Supervision and Curriculum Development, 2005.</w:t>
                </w:r>
              </w:p>
            </w:tc>
          </w:tr>
          <w:tr w:rsidR="009255D7" w:rsidRPr="009255D7" w14:paraId="69CAA57A" w14:textId="77777777" w:rsidTr="0035437F">
            <w:trPr>
              <w:tblCellSpacing w:w="15" w:type="dxa"/>
            </w:trPr>
            <w:tc>
              <w:tcPr>
                <w:tcW w:w="157" w:type="pct"/>
                <w:hideMark/>
              </w:tcPr>
              <w:p w14:paraId="338532B2" w14:textId="77777777" w:rsidR="00A17977" w:rsidRPr="009255D7" w:rsidRDefault="00A1797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[19] </w:t>
                </w:r>
              </w:p>
            </w:tc>
            <w:tc>
              <w:tcPr>
                <w:tcW w:w="0" w:type="auto"/>
                <w:hideMark/>
              </w:tcPr>
              <w:p w14:paraId="17F6954F" w14:textId="50D3262C" w:rsidR="00A17977" w:rsidRPr="009255D7" w:rsidRDefault="009255D7" w:rsidP="00A1797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P. C. Brown, H. L. Roediger and M. A. McDaniel, Make it Stick: The Science of Successful Learning, Cambridge, Massachusetts: Belknap Press, 2014.</w:t>
                </w:r>
              </w:p>
            </w:tc>
          </w:tr>
          <w:tr w:rsidR="009255D7" w:rsidRPr="009255D7" w14:paraId="744CEC11" w14:textId="77777777" w:rsidTr="0035437F">
            <w:trPr>
              <w:tblCellSpacing w:w="15" w:type="dxa"/>
            </w:trPr>
            <w:tc>
              <w:tcPr>
                <w:tcW w:w="157" w:type="pct"/>
                <w:hideMark/>
              </w:tcPr>
              <w:p w14:paraId="1E3B38DA" w14:textId="77777777"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[20] </w:t>
                </w:r>
              </w:p>
            </w:tc>
            <w:tc>
              <w:tcPr>
                <w:tcW w:w="0" w:type="auto"/>
                <w:hideMark/>
              </w:tcPr>
              <w:p w14:paraId="6100BC84" w14:textId="5045C625"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C. Dirks, M. P. Wenderoth and M. Withers, Assessment In the College Classroom, New York: W. H. Freeman, 2014. </w:t>
                </w:r>
              </w:p>
            </w:tc>
          </w:tr>
          <w:tr w:rsidR="009255D7" w:rsidRPr="009255D7" w14:paraId="6BED23C5" w14:textId="77777777" w:rsidTr="001A610C">
            <w:trPr>
              <w:tblCellSpacing w:w="15" w:type="dxa"/>
            </w:trPr>
            <w:tc>
              <w:tcPr>
                <w:tcW w:w="157" w:type="pct"/>
                <w:hideMark/>
              </w:tcPr>
              <w:p w14:paraId="46093964" w14:textId="77777777"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[21] </w:t>
                </w:r>
              </w:p>
            </w:tc>
            <w:tc>
              <w:tcPr>
                <w:tcW w:w="0" w:type="auto"/>
              </w:tcPr>
              <w:p w14:paraId="6AEB9CD9" w14:textId="1D451AFE"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S. A. Ambrose, M. W. Bridges, M. DiPietro, M. C. Lovett and M. K. Norman, "Chapter 7: How Do Students Become Self-Directed Learners?," in </w:t>
                </w:r>
                <w:r w:rsidRPr="009255D7">
                  <w:rPr>
                    <w:rFonts w:asciiTheme="minorHAnsi" w:hAnsiTheme="minorHAnsi"/>
                    <w:i/>
                    <w:iCs/>
                    <w:noProof/>
                    <w:color w:val="000000" w:themeColor="text1"/>
                    <w:sz w:val="19"/>
                    <w:szCs w:val="19"/>
                  </w:rPr>
                  <w:t>How Learning Works: Seven Research-Based Principles for Smart Teaching</w:t>
                </w:r>
                <w:r w:rsidRPr="009255D7">
                  <w:rPr>
                    <w:rFonts w:asciiTheme="minorHAnsi" w:hAnsiTheme="minorHAnsi"/>
                    <w:noProof/>
                    <w:color w:val="000000" w:themeColor="text1"/>
                    <w:sz w:val="19"/>
                    <w:szCs w:val="19"/>
                  </w:rPr>
                  <w:t>, Hoboken, New Jersey: Jossey-Bass, 2010.</w:t>
                </w:r>
              </w:p>
            </w:tc>
          </w:tr>
          <w:tr w:rsidR="009255D7" w:rsidRPr="009255D7" w14:paraId="2B55788A" w14:textId="77777777" w:rsidTr="0035437F">
            <w:trPr>
              <w:tblCellSpacing w:w="15" w:type="dxa"/>
            </w:trPr>
            <w:tc>
              <w:tcPr>
                <w:tcW w:w="157" w:type="pct"/>
                <w:hideMark/>
              </w:tcPr>
              <w:p w14:paraId="03822EFC" w14:textId="77777777"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[22] </w:t>
                </w:r>
              </w:p>
            </w:tc>
            <w:tc>
              <w:tcPr>
                <w:tcW w:w="0" w:type="auto"/>
                <w:hideMark/>
              </w:tcPr>
              <w:p w14:paraId="34513B1C" w14:textId="01C45999"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R. Wass and C. Golding, "Sharpening a Tool for Teaching: The Zone of Proximal Development," </w:t>
                </w:r>
                <w:r w:rsidRPr="009255D7">
                  <w:rPr>
                    <w:rFonts w:asciiTheme="minorHAnsi" w:hAnsiTheme="minorHAnsi"/>
                    <w:i/>
                    <w:iCs/>
                    <w:noProof/>
                    <w:color w:val="000000" w:themeColor="text1"/>
                    <w:sz w:val="19"/>
                    <w:szCs w:val="19"/>
                  </w:rPr>
                  <w:t xml:space="preserve">Teaching in Higher Education, </w:t>
                </w:r>
                <w:r w:rsidRPr="009255D7">
                  <w:rPr>
                    <w:rFonts w:asciiTheme="minorHAnsi" w:hAnsiTheme="minorHAnsi"/>
                    <w:noProof/>
                    <w:color w:val="000000" w:themeColor="text1"/>
                    <w:sz w:val="19"/>
                    <w:szCs w:val="19"/>
                  </w:rPr>
                  <w:t>vol. 19, no. 6, pp. 671-684, 2014.</w:t>
                </w:r>
              </w:p>
            </w:tc>
          </w:tr>
          <w:tr w:rsidR="009255D7" w:rsidRPr="009255D7" w14:paraId="1195A3F8" w14:textId="77777777" w:rsidTr="0035437F">
            <w:trPr>
              <w:tblCellSpacing w:w="15" w:type="dxa"/>
            </w:trPr>
            <w:tc>
              <w:tcPr>
                <w:tcW w:w="157" w:type="pct"/>
                <w:hideMark/>
              </w:tcPr>
              <w:p w14:paraId="08FE1808" w14:textId="77777777"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[23] </w:t>
                </w:r>
              </w:p>
            </w:tc>
            <w:tc>
              <w:tcPr>
                <w:tcW w:w="0" w:type="auto"/>
                <w:hideMark/>
              </w:tcPr>
              <w:p w14:paraId="16ECB2D7" w14:textId="4859DDC9"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L. Deslauriers, E. Schelew and C. Wieman, "Improved Learning in a Large-Enrollment Physics Class," </w:t>
                </w:r>
                <w:r w:rsidRPr="009255D7">
                  <w:rPr>
                    <w:rFonts w:asciiTheme="minorHAnsi" w:hAnsiTheme="minorHAnsi"/>
                    <w:i/>
                    <w:iCs/>
                    <w:noProof/>
                    <w:color w:val="000000" w:themeColor="text1"/>
                    <w:sz w:val="19"/>
                    <w:szCs w:val="19"/>
                  </w:rPr>
                  <w:t xml:space="preserve">Science, </w:t>
                </w:r>
                <w:r w:rsidRPr="009255D7">
                  <w:rPr>
                    <w:rFonts w:asciiTheme="minorHAnsi" w:hAnsiTheme="minorHAnsi"/>
                    <w:noProof/>
                    <w:color w:val="000000" w:themeColor="text1"/>
                    <w:sz w:val="19"/>
                    <w:szCs w:val="19"/>
                  </w:rPr>
                  <w:t xml:space="preserve">vol. 332, pp. 862-864, 2011. </w:t>
                </w:r>
              </w:p>
            </w:tc>
          </w:tr>
          <w:tr w:rsidR="009255D7" w:rsidRPr="009255D7" w14:paraId="4A00B671" w14:textId="77777777" w:rsidTr="00A17977">
            <w:trPr>
              <w:tblCellSpacing w:w="15" w:type="dxa"/>
            </w:trPr>
            <w:tc>
              <w:tcPr>
                <w:tcW w:w="157" w:type="pct"/>
                <w:hideMark/>
              </w:tcPr>
              <w:p w14:paraId="34C02DF9" w14:textId="77777777"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[24] </w:t>
                </w:r>
              </w:p>
            </w:tc>
            <w:tc>
              <w:tcPr>
                <w:tcW w:w="0" w:type="auto"/>
              </w:tcPr>
              <w:p w14:paraId="4BB06ADE" w14:textId="7D548638"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J. Handelsman, S. Miller and C. Pfund, "Chapter 2: Active Learning," in </w:t>
                </w:r>
                <w:r w:rsidRPr="009255D7">
                  <w:rPr>
                    <w:rFonts w:asciiTheme="minorHAnsi" w:hAnsiTheme="minorHAnsi"/>
                    <w:i/>
                    <w:iCs/>
                    <w:noProof/>
                    <w:color w:val="000000" w:themeColor="text1"/>
                    <w:sz w:val="19"/>
                    <w:szCs w:val="19"/>
                  </w:rPr>
                  <w:t>Scientific Teaching</w:t>
                </w:r>
                <w:r w:rsidRPr="009255D7">
                  <w:rPr>
                    <w:rFonts w:asciiTheme="minorHAnsi" w:hAnsiTheme="minorHAnsi"/>
                    <w:noProof/>
                    <w:color w:val="000000" w:themeColor="text1"/>
                    <w:sz w:val="19"/>
                    <w:szCs w:val="19"/>
                  </w:rPr>
                  <w:t xml:space="preserve">, New York, W. H. Freeman , 2007. </w:t>
                </w:r>
              </w:p>
            </w:tc>
          </w:tr>
          <w:tr w:rsidR="009255D7" w:rsidRPr="009255D7" w14:paraId="2EF0D174" w14:textId="77777777" w:rsidTr="00A17977">
            <w:trPr>
              <w:tblCellSpacing w:w="15" w:type="dxa"/>
            </w:trPr>
            <w:tc>
              <w:tcPr>
                <w:tcW w:w="157" w:type="pct"/>
                <w:hideMark/>
              </w:tcPr>
              <w:p w14:paraId="1863E731" w14:textId="77777777"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[25] </w:t>
                </w:r>
              </w:p>
            </w:tc>
            <w:tc>
              <w:tcPr>
                <w:tcW w:w="0" w:type="auto"/>
              </w:tcPr>
              <w:p w14:paraId="4BA909FB" w14:textId="2EAE0164"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S. Freeman, S. L. Eddy, M. McDonough, M. K. Smith, N. Okoroafor, H. Jordt and M. P. Wenderoth, "Active learning increases student performance in science, engineering, and mathematics," </w:t>
                </w:r>
                <w:r w:rsidRPr="009255D7">
                  <w:rPr>
                    <w:rFonts w:asciiTheme="minorHAnsi" w:hAnsiTheme="minorHAnsi"/>
                    <w:i/>
                    <w:iCs/>
                    <w:noProof/>
                    <w:color w:val="000000" w:themeColor="text1"/>
                    <w:sz w:val="19"/>
                    <w:szCs w:val="19"/>
                  </w:rPr>
                  <w:t xml:space="preserve">Proceedings of the National Academy of Sciences, </w:t>
                </w:r>
                <w:r w:rsidRPr="009255D7">
                  <w:rPr>
                    <w:rFonts w:asciiTheme="minorHAnsi" w:hAnsiTheme="minorHAnsi"/>
                    <w:noProof/>
                    <w:color w:val="000000" w:themeColor="text1"/>
                    <w:sz w:val="19"/>
                    <w:szCs w:val="19"/>
                  </w:rPr>
                  <w:t xml:space="preserve">vol. 111, no. 23, p. 8410–5, 2015. </w:t>
                </w:r>
              </w:p>
            </w:tc>
          </w:tr>
          <w:tr w:rsidR="009255D7" w:rsidRPr="009255D7" w14:paraId="43F931B5" w14:textId="77777777" w:rsidTr="00A17977">
            <w:trPr>
              <w:tblCellSpacing w:w="15" w:type="dxa"/>
            </w:trPr>
            <w:tc>
              <w:tcPr>
                <w:tcW w:w="157" w:type="pct"/>
                <w:hideMark/>
              </w:tcPr>
              <w:p w14:paraId="67A01EDD" w14:textId="77777777"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[26] </w:t>
                </w:r>
              </w:p>
            </w:tc>
            <w:tc>
              <w:tcPr>
                <w:tcW w:w="0" w:type="auto"/>
              </w:tcPr>
              <w:p w14:paraId="04CCE852" w14:textId="6A5CF803" w:rsidR="009255D7" w:rsidRPr="009255D7" w:rsidRDefault="009255D7" w:rsidP="009255D7">
                <w:pPr>
                  <w:pStyle w:val="Bibliography"/>
                  <w:rPr>
                    <w:rFonts w:asciiTheme="minorHAnsi" w:eastAsiaTheme="minorEastAsia" w:hAnsiTheme="minorHAnsi"/>
                    <w:noProof/>
                    <w:color w:val="000000" w:themeColor="text1"/>
                    <w:sz w:val="19"/>
                    <w:szCs w:val="19"/>
                  </w:rPr>
                </w:pPr>
                <w:r w:rsidRPr="009255D7">
                  <w:rPr>
                    <w:rFonts w:asciiTheme="minorHAnsi" w:hAnsiTheme="minorHAnsi"/>
                    <w:noProof/>
                    <w:color w:val="000000" w:themeColor="text1"/>
                    <w:sz w:val="19"/>
                    <w:szCs w:val="19"/>
                  </w:rPr>
                  <w:t xml:space="preserve">M. B. Rowe, "Wait Time: Slowing Down May Be a Way of Speeding Up!," </w:t>
                </w:r>
                <w:r w:rsidRPr="009255D7">
                  <w:rPr>
                    <w:rFonts w:asciiTheme="minorHAnsi" w:hAnsiTheme="minorHAnsi"/>
                    <w:i/>
                    <w:iCs/>
                    <w:noProof/>
                    <w:color w:val="000000" w:themeColor="text1"/>
                    <w:sz w:val="19"/>
                    <w:szCs w:val="19"/>
                  </w:rPr>
                  <w:t xml:space="preserve">Journal of Teacher Education, </w:t>
                </w:r>
                <w:r w:rsidRPr="009255D7">
                  <w:rPr>
                    <w:rFonts w:asciiTheme="minorHAnsi" w:hAnsiTheme="minorHAnsi"/>
                    <w:noProof/>
                    <w:color w:val="000000" w:themeColor="text1"/>
                    <w:sz w:val="19"/>
                    <w:szCs w:val="19"/>
                  </w:rPr>
                  <w:t xml:space="preserve">vol. 37, pp. 43-50, 1986. </w:t>
                </w:r>
              </w:p>
            </w:tc>
          </w:tr>
        </w:tbl>
        <w:p w14:paraId="49F4D521" w14:textId="77777777" w:rsidR="00960A21" w:rsidRPr="009255D7" w:rsidRDefault="00960A21" w:rsidP="007F78F2">
          <w:pPr>
            <w:rPr>
              <w:rFonts w:asciiTheme="minorHAnsi" w:hAnsiTheme="minorHAnsi"/>
              <w:noProof/>
              <w:color w:val="000000" w:themeColor="text1"/>
              <w:sz w:val="19"/>
              <w:szCs w:val="19"/>
            </w:rPr>
          </w:pPr>
        </w:p>
        <w:p w14:paraId="50A12DCD" w14:textId="77777777" w:rsidR="00130686" w:rsidRPr="009255D7" w:rsidRDefault="005052FF" w:rsidP="00D856DF">
          <w:pPr>
            <w:rPr>
              <w:rFonts w:asciiTheme="minorHAnsi" w:hAnsiTheme="minorHAnsi"/>
              <w:color w:val="000000" w:themeColor="text1"/>
              <w:sz w:val="19"/>
              <w:szCs w:val="19"/>
            </w:rPr>
          </w:pPr>
          <w:r w:rsidRPr="009255D7">
            <w:rPr>
              <w:rFonts w:asciiTheme="minorHAnsi" w:hAnsiTheme="minorHAnsi"/>
              <w:color w:val="000000" w:themeColor="text1"/>
              <w:sz w:val="19"/>
              <w:szCs w:val="19"/>
            </w:rPr>
            <w:fldChar w:fldCharType="end"/>
          </w:r>
        </w:p>
      </w:sdtContent>
    </w:sdt>
    <w:p w14:paraId="5266F101" w14:textId="77777777" w:rsidR="000C1B78" w:rsidRPr="009255D7" w:rsidRDefault="000C1B78" w:rsidP="003B641A">
      <w:pPr>
        <w:rPr>
          <w:rFonts w:asciiTheme="minorHAnsi" w:hAnsiTheme="minorHAnsi" w:cs="Calibri"/>
          <w:b/>
          <w:color w:val="000000" w:themeColor="text1"/>
          <w:sz w:val="22"/>
          <w:szCs w:val="22"/>
          <w:u w:val="single"/>
        </w:rPr>
      </w:pPr>
    </w:p>
    <w:sectPr w:rsidR="000C1B78" w:rsidRPr="009255D7" w:rsidSect="007F78F2">
      <w:headerReference w:type="default" r:id="rId13"/>
      <w:headerReference w:type="first" r:id="rId14"/>
      <w:pgSz w:w="12240" w:h="15840" w:code="1"/>
      <w:pgMar w:top="720" w:right="720" w:bottom="720" w:left="72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3E1C3" w14:textId="77777777" w:rsidR="009F0313" w:rsidRDefault="009F0313">
      <w:r>
        <w:separator/>
      </w:r>
    </w:p>
  </w:endnote>
  <w:endnote w:type="continuationSeparator" w:id="0">
    <w:p w14:paraId="79494AB0" w14:textId="77777777" w:rsidR="009F0313" w:rsidRDefault="009F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A1D0" w14:textId="67D4DD77" w:rsidR="009942CB" w:rsidRPr="009942CB" w:rsidRDefault="009942CB" w:rsidP="009942CB">
    <w:pPr>
      <w:pStyle w:val="Footer"/>
      <w:rPr>
        <w:rFonts w:asciiTheme="minorHAnsi" w:hAnsiTheme="minorHAnsi"/>
        <w:sz w:val="18"/>
        <w:szCs w:val="18"/>
      </w:rPr>
    </w:pPr>
    <w:r w:rsidRPr="009942CB">
      <w:rPr>
        <w:rFonts w:asciiTheme="minorHAnsi" w:hAnsiTheme="minorHAnsi"/>
        <w:sz w:val="18"/>
        <w:szCs w:val="18"/>
      </w:rPr>
      <w:t xml:space="preserve">University of Oregon Teaching </w:t>
    </w:r>
    <w:r w:rsidR="0085443E">
      <w:rPr>
        <w:rFonts w:asciiTheme="minorHAnsi" w:hAnsiTheme="minorHAnsi"/>
        <w:sz w:val="18"/>
        <w:szCs w:val="18"/>
      </w:rPr>
      <w:t>Engagement</w:t>
    </w:r>
    <w:r w:rsidRPr="009942CB">
      <w:rPr>
        <w:rFonts w:asciiTheme="minorHAnsi" w:hAnsiTheme="minorHAnsi"/>
        <w:sz w:val="18"/>
        <w:szCs w:val="18"/>
      </w:rPr>
      <w:t xml:space="preserve"> Program – tep.uoregon.edu</w:t>
    </w:r>
    <w:r w:rsidRPr="009942CB">
      <w:rPr>
        <w:rFonts w:asciiTheme="minorHAnsi" w:hAnsiTheme="minorHAnsi"/>
        <w:sz w:val="18"/>
        <w:szCs w:val="18"/>
      </w:rPr>
      <w:ptab w:relativeTo="margin" w:alignment="right" w:leader="none"/>
    </w:r>
    <w:r w:rsidRPr="009942CB">
      <w:rPr>
        <w:rFonts w:asciiTheme="minorHAnsi" w:hAnsiTheme="minorHAnsi"/>
        <w:sz w:val="18"/>
        <w:szCs w:val="18"/>
      </w:rPr>
      <w:t xml:space="preserve">Page </w:t>
    </w:r>
    <w:r w:rsidR="005052FF" w:rsidRPr="009942CB">
      <w:rPr>
        <w:rFonts w:asciiTheme="minorHAnsi" w:hAnsiTheme="minorHAnsi"/>
        <w:sz w:val="18"/>
        <w:szCs w:val="18"/>
      </w:rPr>
      <w:fldChar w:fldCharType="begin"/>
    </w:r>
    <w:r w:rsidRPr="009942CB">
      <w:rPr>
        <w:rFonts w:asciiTheme="minorHAnsi" w:hAnsiTheme="minorHAnsi"/>
        <w:sz w:val="18"/>
        <w:szCs w:val="18"/>
      </w:rPr>
      <w:instrText xml:space="preserve"> PAGE   \* MERGEFORMAT </w:instrText>
    </w:r>
    <w:r w:rsidR="005052FF" w:rsidRPr="009942CB">
      <w:rPr>
        <w:rFonts w:asciiTheme="minorHAnsi" w:hAnsiTheme="minorHAnsi"/>
        <w:sz w:val="18"/>
        <w:szCs w:val="18"/>
      </w:rPr>
      <w:fldChar w:fldCharType="separate"/>
    </w:r>
    <w:r w:rsidR="00052176">
      <w:rPr>
        <w:rFonts w:asciiTheme="minorHAnsi" w:hAnsiTheme="minorHAnsi"/>
        <w:noProof/>
        <w:sz w:val="18"/>
        <w:szCs w:val="18"/>
      </w:rPr>
      <w:t>5</w:t>
    </w:r>
    <w:r w:rsidR="005052FF" w:rsidRPr="009942CB">
      <w:rPr>
        <w:rFonts w:asciiTheme="minorHAnsi" w:hAnsiTheme="minorHAnsi"/>
        <w:sz w:val="18"/>
        <w:szCs w:val="18"/>
      </w:rPr>
      <w:fldChar w:fldCharType="end"/>
    </w:r>
  </w:p>
  <w:p w14:paraId="002D8554" w14:textId="77777777" w:rsidR="00C608B6" w:rsidRPr="009942CB" w:rsidRDefault="00C608B6" w:rsidP="009942CB">
    <w:pPr>
      <w:pStyle w:val="Footer"/>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C59" w14:textId="3A1B9703" w:rsidR="009942CB" w:rsidRPr="009942CB" w:rsidRDefault="009942CB" w:rsidP="009942CB">
    <w:pPr>
      <w:pStyle w:val="Footer"/>
      <w:rPr>
        <w:rFonts w:asciiTheme="minorHAnsi" w:hAnsiTheme="minorHAnsi"/>
        <w:sz w:val="18"/>
        <w:szCs w:val="18"/>
      </w:rPr>
    </w:pPr>
    <w:r w:rsidRPr="009942CB">
      <w:rPr>
        <w:rFonts w:asciiTheme="minorHAnsi" w:hAnsiTheme="minorHAnsi"/>
        <w:sz w:val="18"/>
        <w:szCs w:val="18"/>
      </w:rPr>
      <w:t xml:space="preserve">University </w:t>
    </w:r>
    <w:r w:rsidR="00E20820">
      <w:rPr>
        <w:rFonts w:asciiTheme="minorHAnsi" w:hAnsiTheme="minorHAnsi"/>
        <w:sz w:val="18"/>
        <w:szCs w:val="18"/>
      </w:rPr>
      <w:t>of Oregon Teaching Engagement</w:t>
    </w:r>
    <w:r w:rsidRPr="009942CB">
      <w:rPr>
        <w:rFonts w:asciiTheme="minorHAnsi" w:hAnsiTheme="minorHAnsi"/>
        <w:sz w:val="18"/>
        <w:szCs w:val="18"/>
      </w:rPr>
      <w:t xml:space="preserve"> Program - tep.uoregon.edu</w:t>
    </w:r>
    <w:r w:rsidR="00E22127">
      <w:rPr>
        <w:rFonts w:asciiTheme="minorHAnsi" w:hAnsiTheme="minorHAnsi"/>
        <w:sz w:val="18"/>
        <w:szCs w:val="18"/>
      </w:rPr>
      <w:t xml:space="preserve">, Revised </w:t>
    </w:r>
    <w:r w:rsidR="002F02A0">
      <w:rPr>
        <w:rFonts w:asciiTheme="minorHAnsi" w:hAnsiTheme="minorHAnsi"/>
        <w:sz w:val="18"/>
        <w:szCs w:val="18"/>
      </w:rPr>
      <w:t>11</w:t>
    </w:r>
    <w:r w:rsidR="00E22127">
      <w:rPr>
        <w:rFonts w:asciiTheme="minorHAnsi" w:hAnsiTheme="minorHAnsi"/>
        <w:sz w:val="18"/>
        <w:szCs w:val="18"/>
      </w:rPr>
      <w:t>/8/201</w:t>
    </w:r>
    <w:r w:rsidR="002F02A0">
      <w:rPr>
        <w:rFonts w:asciiTheme="minorHAnsi" w:hAnsiTheme="minorHAnsi"/>
        <w:sz w:val="18"/>
        <w:szCs w:val="18"/>
      </w:rPr>
      <w:t>9</w:t>
    </w:r>
    <w:r w:rsidRPr="009942CB">
      <w:rPr>
        <w:rFonts w:asciiTheme="minorHAnsi" w:hAnsiTheme="minorHAnsi"/>
        <w:sz w:val="18"/>
        <w:szCs w:val="18"/>
      </w:rPr>
      <w:ptab w:relativeTo="margin" w:alignment="right" w:leader="none"/>
    </w:r>
    <w:r w:rsidRPr="009942CB">
      <w:rPr>
        <w:rFonts w:asciiTheme="minorHAnsi" w:hAnsiTheme="minorHAnsi"/>
        <w:sz w:val="18"/>
        <w:szCs w:val="18"/>
      </w:rPr>
      <w:t xml:space="preserve">Page </w:t>
    </w:r>
    <w:r w:rsidR="005052FF" w:rsidRPr="009942CB">
      <w:rPr>
        <w:rFonts w:asciiTheme="minorHAnsi" w:hAnsiTheme="minorHAnsi"/>
        <w:sz w:val="18"/>
        <w:szCs w:val="18"/>
      </w:rPr>
      <w:fldChar w:fldCharType="begin"/>
    </w:r>
    <w:r w:rsidRPr="009942CB">
      <w:rPr>
        <w:rFonts w:asciiTheme="minorHAnsi" w:hAnsiTheme="minorHAnsi"/>
        <w:sz w:val="18"/>
        <w:szCs w:val="18"/>
      </w:rPr>
      <w:instrText xml:space="preserve"> PAGE   \* MERGEFORMAT </w:instrText>
    </w:r>
    <w:r w:rsidR="005052FF" w:rsidRPr="009942CB">
      <w:rPr>
        <w:rFonts w:asciiTheme="minorHAnsi" w:hAnsiTheme="minorHAnsi"/>
        <w:sz w:val="18"/>
        <w:szCs w:val="18"/>
      </w:rPr>
      <w:fldChar w:fldCharType="separate"/>
    </w:r>
    <w:r w:rsidR="00052176">
      <w:rPr>
        <w:rFonts w:asciiTheme="minorHAnsi" w:hAnsiTheme="minorHAnsi"/>
        <w:noProof/>
        <w:sz w:val="18"/>
        <w:szCs w:val="18"/>
      </w:rPr>
      <w:t>1</w:t>
    </w:r>
    <w:r w:rsidR="005052FF" w:rsidRPr="009942CB">
      <w:rPr>
        <w:rFonts w:asciiTheme="minorHAnsi" w:hAnsiTheme="minorHAnsi"/>
        <w:sz w:val="18"/>
        <w:szCs w:val="18"/>
      </w:rPr>
      <w:fldChar w:fldCharType="end"/>
    </w:r>
  </w:p>
  <w:p w14:paraId="78A6EEB7" w14:textId="77777777" w:rsidR="00C608B6" w:rsidRPr="009942CB" w:rsidRDefault="00C608B6" w:rsidP="009942CB">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8891" w14:textId="77777777" w:rsidR="009F0313" w:rsidRDefault="009F0313">
      <w:r>
        <w:separator/>
      </w:r>
    </w:p>
  </w:footnote>
  <w:footnote w:type="continuationSeparator" w:id="0">
    <w:p w14:paraId="2D7F66FE" w14:textId="77777777" w:rsidR="009F0313" w:rsidRDefault="009F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681A" w14:textId="77777777" w:rsidR="00645A58" w:rsidRDefault="00645A58" w:rsidP="00053074">
    <w:pPr>
      <w:pStyle w:val="Header"/>
      <w:tabs>
        <w:tab w:val="left" w:pos="1830"/>
        <w:tab w:val="center" w:pos="54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1C7C" w14:textId="62F68C97" w:rsidR="007F78F2" w:rsidRDefault="005C7032" w:rsidP="00506966">
    <w:pPr>
      <w:pStyle w:val="Header"/>
      <w:tabs>
        <w:tab w:val="right" w:pos="10800"/>
      </w:tabs>
    </w:pPr>
    <w:r>
      <w:ptab w:relativeTo="margin" w:alignment="center" w:leader="none"/>
    </w:r>
    <w:r w:rsidR="0050696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87B5" w14:textId="77777777" w:rsidR="005C7032" w:rsidRDefault="005C7032" w:rsidP="00506966">
    <w:pPr>
      <w:pStyle w:val="Header"/>
      <w:tabs>
        <w:tab w:val="right" w:pos="10800"/>
      </w:tabs>
    </w:pPr>
    <w:r>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6D2A" w14:textId="77777777" w:rsidR="0002219D" w:rsidRPr="0002219D" w:rsidRDefault="0002219D" w:rsidP="000221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5DCC" w14:textId="77777777" w:rsidR="0002219D" w:rsidRDefault="00022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7E6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380F27"/>
    <w:multiLevelType w:val="hybridMultilevel"/>
    <w:tmpl w:val="EB329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833BF7"/>
    <w:multiLevelType w:val="hybridMultilevel"/>
    <w:tmpl w:val="4A368B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744B0"/>
    <w:multiLevelType w:val="hybridMultilevel"/>
    <w:tmpl w:val="27CC0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5F3E63"/>
    <w:multiLevelType w:val="hybridMultilevel"/>
    <w:tmpl w:val="40BA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7665"/>
    <w:multiLevelType w:val="hybridMultilevel"/>
    <w:tmpl w:val="9198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21A2A"/>
    <w:multiLevelType w:val="hybridMultilevel"/>
    <w:tmpl w:val="E4E0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71957"/>
    <w:multiLevelType w:val="hybridMultilevel"/>
    <w:tmpl w:val="71180848"/>
    <w:lvl w:ilvl="0" w:tplc="0D7EF1F8">
      <w:start w:val="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62D0E"/>
    <w:multiLevelType w:val="hybridMultilevel"/>
    <w:tmpl w:val="61E2A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CE4BCD"/>
    <w:multiLevelType w:val="hybridMultilevel"/>
    <w:tmpl w:val="27CC0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C543FC"/>
    <w:multiLevelType w:val="hybridMultilevel"/>
    <w:tmpl w:val="C3AC5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0B5C55"/>
    <w:multiLevelType w:val="hybridMultilevel"/>
    <w:tmpl w:val="F1A86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44983"/>
    <w:multiLevelType w:val="hybridMultilevel"/>
    <w:tmpl w:val="61E2A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8"/>
  </w:num>
  <w:num w:numId="5">
    <w:abstractNumId w:val="12"/>
  </w:num>
  <w:num w:numId="6">
    <w:abstractNumId w:val="4"/>
  </w:num>
  <w:num w:numId="7">
    <w:abstractNumId w:val="10"/>
  </w:num>
  <w:num w:numId="8">
    <w:abstractNumId w:val="2"/>
  </w:num>
  <w:num w:numId="9">
    <w:abstractNumId w:val="5"/>
  </w:num>
  <w:num w:numId="10">
    <w:abstractNumId w:val="1"/>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B6"/>
    <w:rsid w:val="00000AF6"/>
    <w:rsid w:val="0000271C"/>
    <w:rsid w:val="0002013E"/>
    <w:rsid w:val="00020609"/>
    <w:rsid w:val="0002219D"/>
    <w:rsid w:val="000238E2"/>
    <w:rsid w:val="00032291"/>
    <w:rsid w:val="0003378F"/>
    <w:rsid w:val="00033E0C"/>
    <w:rsid w:val="000377DD"/>
    <w:rsid w:val="000400BE"/>
    <w:rsid w:val="00044C1B"/>
    <w:rsid w:val="00052176"/>
    <w:rsid w:val="00053074"/>
    <w:rsid w:val="00055495"/>
    <w:rsid w:val="00055DA4"/>
    <w:rsid w:val="00065697"/>
    <w:rsid w:val="000844EA"/>
    <w:rsid w:val="00084D3B"/>
    <w:rsid w:val="00094887"/>
    <w:rsid w:val="00096F88"/>
    <w:rsid w:val="00097B76"/>
    <w:rsid w:val="000A056E"/>
    <w:rsid w:val="000A3398"/>
    <w:rsid w:val="000A4D30"/>
    <w:rsid w:val="000B1FC1"/>
    <w:rsid w:val="000C1B78"/>
    <w:rsid w:val="000C2C26"/>
    <w:rsid w:val="000C5CEF"/>
    <w:rsid w:val="000C7C06"/>
    <w:rsid w:val="000C7DD7"/>
    <w:rsid w:val="000D273D"/>
    <w:rsid w:val="000E73E3"/>
    <w:rsid w:val="000F166D"/>
    <w:rsid w:val="00100A5C"/>
    <w:rsid w:val="0010513F"/>
    <w:rsid w:val="00111F12"/>
    <w:rsid w:val="001136AF"/>
    <w:rsid w:val="00117628"/>
    <w:rsid w:val="0012654E"/>
    <w:rsid w:val="001269A6"/>
    <w:rsid w:val="00130686"/>
    <w:rsid w:val="001322D3"/>
    <w:rsid w:val="00135BB0"/>
    <w:rsid w:val="0014290B"/>
    <w:rsid w:val="00147599"/>
    <w:rsid w:val="0016607C"/>
    <w:rsid w:val="001710CB"/>
    <w:rsid w:val="001831C8"/>
    <w:rsid w:val="00184BA6"/>
    <w:rsid w:val="001952A2"/>
    <w:rsid w:val="001A334F"/>
    <w:rsid w:val="001A4031"/>
    <w:rsid w:val="001A48BD"/>
    <w:rsid w:val="001A610C"/>
    <w:rsid w:val="001B550C"/>
    <w:rsid w:val="001C7117"/>
    <w:rsid w:val="001D227B"/>
    <w:rsid w:val="001E1BFE"/>
    <w:rsid w:val="001E2797"/>
    <w:rsid w:val="001E5A4F"/>
    <w:rsid w:val="001F4960"/>
    <w:rsid w:val="001F6395"/>
    <w:rsid w:val="0020027B"/>
    <w:rsid w:val="00203929"/>
    <w:rsid w:val="00211A7B"/>
    <w:rsid w:val="00223B96"/>
    <w:rsid w:val="002250CE"/>
    <w:rsid w:val="002369C5"/>
    <w:rsid w:val="0025560B"/>
    <w:rsid w:val="00256022"/>
    <w:rsid w:val="00261C10"/>
    <w:rsid w:val="00270594"/>
    <w:rsid w:val="00272B2B"/>
    <w:rsid w:val="00283763"/>
    <w:rsid w:val="00290803"/>
    <w:rsid w:val="002971F7"/>
    <w:rsid w:val="00297465"/>
    <w:rsid w:val="002A19D6"/>
    <w:rsid w:val="002A685B"/>
    <w:rsid w:val="002B5EBB"/>
    <w:rsid w:val="002C0CAC"/>
    <w:rsid w:val="002C469B"/>
    <w:rsid w:val="002E0C53"/>
    <w:rsid w:val="002E3BEC"/>
    <w:rsid w:val="002F02A0"/>
    <w:rsid w:val="002F18E4"/>
    <w:rsid w:val="002F1E6D"/>
    <w:rsid w:val="00300EF4"/>
    <w:rsid w:val="0030141B"/>
    <w:rsid w:val="003053C8"/>
    <w:rsid w:val="00306FE6"/>
    <w:rsid w:val="003114B7"/>
    <w:rsid w:val="003140E0"/>
    <w:rsid w:val="00324442"/>
    <w:rsid w:val="0034399A"/>
    <w:rsid w:val="0035437F"/>
    <w:rsid w:val="00362090"/>
    <w:rsid w:val="003716F8"/>
    <w:rsid w:val="00371C05"/>
    <w:rsid w:val="003730A0"/>
    <w:rsid w:val="00380B76"/>
    <w:rsid w:val="00383BC5"/>
    <w:rsid w:val="00390D2E"/>
    <w:rsid w:val="003952A4"/>
    <w:rsid w:val="003965BE"/>
    <w:rsid w:val="003A3952"/>
    <w:rsid w:val="003A50C3"/>
    <w:rsid w:val="003B0145"/>
    <w:rsid w:val="003B2CEB"/>
    <w:rsid w:val="003B641A"/>
    <w:rsid w:val="003C7747"/>
    <w:rsid w:val="003D2BF3"/>
    <w:rsid w:val="003D57D6"/>
    <w:rsid w:val="003E1698"/>
    <w:rsid w:val="003E5005"/>
    <w:rsid w:val="003F178B"/>
    <w:rsid w:val="003F1BCE"/>
    <w:rsid w:val="0040081D"/>
    <w:rsid w:val="00405CC9"/>
    <w:rsid w:val="004100B6"/>
    <w:rsid w:val="00413FDB"/>
    <w:rsid w:val="00415367"/>
    <w:rsid w:val="004236FB"/>
    <w:rsid w:val="00424963"/>
    <w:rsid w:val="00432E8B"/>
    <w:rsid w:val="004358E4"/>
    <w:rsid w:val="00454961"/>
    <w:rsid w:val="0045518A"/>
    <w:rsid w:val="004555EB"/>
    <w:rsid w:val="00456DE8"/>
    <w:rsid w:val="00480F9F"/>
    <w:rsid w:val="00482E92"/>
    <w:rsid w:val="00487722"/>
    <w:rsid w:val="00491C7F"/>
    <w:rsid w:val="004927E9"/>
    <w:rsid w:val="00494ED6"/>
    <w:rsid w:val="004B5266"/>
    <w:rsid w:val="004B6871"/>
    <w:rsid w:val="004B736D"/>
    <w:rsid w:val="004C3B41"/>
    <w:rsid w:val="004C747E"/>
    <w:rsid w:val="004C7CAC"/>
    <w:rsid w:val="004D06CF"/>
    <w:rsid w:val="004F3F68"/>
    <w:rsid w:val="004F6D8B"/>
    <w:rsid w:val="005052FF"/>
    <w:rsid w:val="00506966"/>
    <w:rsid w:val="00507C77"/>
    <w:rsid w:val="00521633"/>
    <w:rsid w:val="00534332"/>
    <w:rsid w:val="00536B81"/>
    <w:rsid w:val="00540601"/>
    <w:rsid w:val="00557A7D"/>
    <w:rsid w:val="00562170"/>
    <w:rsid w:val="00562681"/>
    <w:rsid w:val="00580246"/>
    <w:rsid w:val="00582ACE"/>
    <w:rsid w:val="00597142"/>
    <w:rsid w:val="005A184D"/>
    <w:rsid w:val="005A6E9F"/>
    <w:rsid w:val="005B316C"/>
    <w:rsid w:val="005B58C6"/>
    <w:rsid w:val="005C231F"/>
    <w:rsid w:val="005C7032"/>
    <w:rsid w:val="005D6702"/>
    <w:rsid w:val="006048BD"/>
    <w:rsid w:val="006117F9"/>
    <w:rsid w:val="006166DE"/>
    <w:rsid w:val="0062210C"/>
    <w:rsid w:val="00622D46"/>
    <w:rsid w:val="00624FAA"/>
    <w:rsid w:val="00626367"/>
    <w:rsid w:val="00643530"/>
    <w:rsid w:val="00645A58"/>
    <w:rsid w:val="0064774A"/>
    <w:rsid w:val="0066090B"/>
    <w:rsid w:val="006646FC"/>
    <w:rsid w:val="00672FF6"/>
    <w:rsid w:val="0067496F"/>
    <w:rsid w:val="00677E46"/>
    <w:rsid w:val="0068587A"/>
    <w:rsid w:val="006878EF"/>
    <w:rsid w:val="006A10F3"/>
    <w:rsid w:val="006B51BD"/>
    <w:rsid w:val="006B5EB0"/>
    <w:rsid w:val="006B632D"/>
    <w:rsid w:val="006B6591"/>
    <w:rsid w:val="006C0C8C"/>
    <w:rsid w:val="006C5530"/>
    <w:rsid w:val="006D4527"/>
    <w:rsid w:val="006E1DE3"/>
    <w:rsid w:val="006E4A19"/>
    <w:rsid w:val="006E53D1"/>
    <w:rsid w:val="006F31E1"/>
    <w:rsid w:val="00706E25"/>
    <w:rsid w:val="007220E2"/>
    <w:rsid w:val="00722DCC"/>
    <w:rsid w:val="00733C3A"/>
    <w:rsid w:val="00733D13"/>
    <w:rsid w:val="00736A30"/>
    <w:rsid w:val="00741819"/>
    <w:rsid w:val="00746511"/>
    <w:rsid w:val="00772CAE"/>
    <w:rsid w:val="0077338F"/>
    <w:rsid w:val="00776AC3"/>
    <w:rsid w:val="00780038"/>
    <w:rsid w:val="0078269B"/>
    <w:rsid w:val="00783403"/>
    <w:rsid w:val="00784F30"/>
    <w:rsid w:val="00792ECE"/>
    <w:rsid w:val="007A0E85"/>
    <w:rsid w:val="007A18AC"/>
    <w:rsid w:val="007B0668"/>
    <w:rsid w:val="007B4276"/>
    <w:rsid w:val="007B7FF0"/>
    <w:rsid w:val="007C220D"/>
    <w:rsid w:val="007C23A9"/>
    <w:rsid w:val="007C3A44"/>
    <w:rsid w:val="007C7789"/>
    <w:rsid w:val="007D1B30"/>
    <w:rsid w:val="007D386C"/>
    <w:rsid w:val="007D7EC8"/>
    <w:rsid w:val="007E291E"/>
    <w:rsid w:val="007E3C8B"/>
    <w:rsid w:val="007E4BA2"/>
    <w:rsid w:val="007F3F53"/>
    <w:rsid w:val="007F645A"/>
    <w:rsid w:val="007F78F2"/>
    <w:rsid w:val="008027C1"/>
    <w:rsid w:val="00804070"/>
    <w:rsid w:val="00804743"/>
    <w:rsid w:val="0080507B"/>
    <w:rsid w:val="008110C1"/>
    <w:rsid w:val="00825455"/>
    <w:rsid w:val="0082632B"/>
    <w:rsid w:val="00844A18"/>
    <w:rsid w:val="00850B58"/>
    <w:rsid w:val="008513DF"/>
    <w:rsid w:val="0085443E"/>
    <w:rsid w:val="008601F4"/>
    <w:rsid w:val="00874022"/>
    <w:rsid w:val="00876336"/>
    <w:rsid w:val="008808D6"/>
    <w:rsid w:val="00882442"/>
    <w:rsid w:val="008837FD"/>
    <w:rsid w:val="00894C93"/>
    <w:rsid w:val="008A1E7D"/>
    <w:rsid w:val="008B0378"/>
    <w:rsid w:val="008C22E3"/>
    <w:rsid w:val="008C31E0"/>
    <w:rsid w:val="008C5487"/>
    <w:rsid w:val="008C649B"/>
    <w:rsid w:val="008D2833"/>
    <w:rsid w:val="008E6785"/>
    <w:rsid w:val="008E718B"/>
    <w:rsid w:val="008F0CF3"/>
    <w:rsid w:val="008F36FE"/>
    <w:rsid w:val="008F37D2"/>
    <w:rsid w:val="00906F5B"/>
    <w:rsid w:val="009103CB"/>
    <w:rsid w:val="00916DAF"/>
    <w:rsid w:val="00921B41"/>
    <w:rsid w:val="009255D7"/>
    <w:rsid w:val="0092576D"/>
    <w:rsid w:val="00930022"/>
    <w:rsid w:val="00933B01"/>
    <w:rsid w:val="009347B3"/>
    <w:rsid w:val="00934D9B"/>
    <w:rsid w:val="00935DAD"/>
    <w:rsid w:val="0093754C"/>
    <w:rsid w:val="009443A6"/>
    <w:rsid w:val="00945073"/>
    <w:rsid w:val="009548DC"/>
    <w:rsid w:val="009575EC"/>
    <w:rsid w:val="0095773E"/>
    <w:rsid w:val="00960A21"/>
    <w:rsid w:val="009616FB"/>
    <w:rsid w:val="00962C57"/>
    <w:rsid w:val="00967378"/>
    <w:rsid w:val="00975083"/>
    <w:rsid w:val="0097542B"/>
    <w:rsid w:val="00975E1B"/>
    <w:rsid w:val="00980C2F"/>
    <w:rsid w:val="00987FC9"/>
    <w:rsid w:val="00990DDC"/>
    <w:rsid w:val="00992F99"/>
    <w:rsid w:val="00993A7D"/>
    <w:rsid w:val="009942CB"/>
    <w:rsid w:val="00994CD9"/>
    <w:rsid w:val="009A5BE3"/>
    <w:rsid w:val="009C5445"/>
    <w:rsid w:val="009C6C96"/>
    <w:rsid w:val="009E1085"/>
    <w:rsid w:val="009E7B14"/>
    <w:rsid w:val="009F0313"/>
    <w:rsid w:val="009F44DF"/>
    <w:rsid w:val="009F593E"/>
    <w:rsid w:val="00A06F0E"/>
    <w:rsid w:val="00A17977"/>
    <w:rsid w:val="00A242C9"/>
    <w:rsid w:val="00A30045"/>
    <w:rsid w:val="00A30421"/>
    <w:rsid w:val="00A339B1"/>
    <w:rsid w:val="00A33D02"/>
    <w:rsid w:val="00A438C6"/>
    <w:rsid w:val="00A45EC5"/>
    <w:rsid w:val="00A50FA3"/>
    <w:rsid w:val="00A5227E"/>
    <w:rsid w:val="00A56F75"/>
    <w:rsid w:val="00A62699"/>
    <w:rsid w:val="00A7102F"/>
    <w:rsid w:val="00A71AD8"/>
    <w:rsid w:val="00A74DC2"/>
    <w:rsid w:val="00A80893"/>
    <w:rsid w:val="00A81E92"/>
    <w:rsid w:val="00A83EA0"/>
    <w:rsid w:val="00A91CD9"/>
    <w:rsid w:val="00A92650"/>
    <w:rsid w:val="00A94ADA"/>
    <w:rsid w:val="00AA2BE2"/>
    <w:rsid w:val="00AA3186"/>
    <w:rsid w:val="00AA32EF"/>
    <w:rsid w:val="00AA7CB4"/>
    <w:rsid w:val="00AB2582"/>
    <w:rsid w:val="00AB34E5"/>
    <w:rsid w:val="00AB3F50"/>
    <w:rsid w:val="00AD0AED"/>
    <w:rsid w:val="00AD1695"/>
    <w:rsid w:val="00AE29ED"/>
    <w:rsid w:val="00AE5CF5"/>
    <w:rsid w:val="00AF0D34"/>
    <w:rsid w:val="00AF16FE"/>
    <w:rsid w:val="00B06D32"/>
    <w:rsid w:val="00B0767D"/>
    <w:rsid w:val="00B12BA3"/>
    <w:rsid w:val="00B1489D"/>
    <w:rsid w:val="00B14A0C"/>
    <w:rsid w:val="00B22E61"/>
    <w:rsid w:val="00B26F86"/>
    <w:rsid w:val="00B27F0E"/>
    <w:rsid w:val="00B5197B"/>
    <w:rsid w:val="00B65864"/>
    <w:rsid w:val="00B67D62"/>
    <w:rsid w:val="00B71D13"/>
    <w:rsid w:val="00B755EC"/>
    <w:rsid w:val="00B77530"/>
    <w:rsid w:val="00B82AFB"/>
    <w:rsid w:val="00B9225A"/>
    <w:rsid w:val="00B93D13"/>
    <w:rsid w:val="00BA637D"/>
    <w:rsid w:val="00BA664E"/>
    <w:rsid w:val="00BB6069"/>
    <w:rsid w:val="00BC1029"/>
    <w:rsid w:val="00BC1079"/>
    <w:rsid w:val="00BC7B24"/>
    <w:rsid w:val="00BC7E41"/>
    <w:rsid w:val="00BE0A0F"/>
    <w:rsid w:val="00BE5A9A"/>
    <w:rsid w:val="00BE7812"/>
    <w:rsid w:val="00BF74EF"/>
    <w:rsid w:val="00C0747A"/>
    <w:rsid w:val="00C21D6B"/>
    <w:rsid w:val="00C4157C"/>
    <w:rsid w:val="00C42F38"/>
    <w:rsid w:val="00C520D2"/>
    <w:rsid w:val="00C527F9"/>
    <w:rsid w:val="00C573D2"/>
    <w:rsid w:val="00C608B6"/>
    <w:rsid w:val="00C6096C"/>
    <w:rsid w:val="00C7068C"/>
    <w:rsid w:val="00C71118"/>
    <w:rsid w:val="00C74318"/>
    <w:rsid w:val="00C755B2"/>
    <w:rsid w:val="00C80EB2"/>
    <w:rsid w:val="00C82497"/>
    <w:rsid w:val="00C902E1"/>
    <w:rsid w:val="00C90699"/>
    <w:rsid w:val="00C92482"/>
    <w:rsid w:val="00CA198E"/>
    <w:rsid w:val="00CA2203"/>
    <w:rsid w:val="00CC262C"/>
    <w:rsid w:val="00CC2FC4"/>
    <w:rsid w:val="00CC6778"/>
    <w:rsid w:val="00CD1484"/>
    <w:rsid w:val="00CF5BBC"/>
    <w:rsid w:val="00D065AF"/>
    <w:rsid w:val="00D11C41"/>
    <w:rsid w:val="00D129CD"/>
    <w:rsid w:val="00D15F8F"/>
    <w:rsid w:val="00D22101"/>
    <w:rsid w:val="00D27BE3"/>
    <w:rsid w:val="00D45987"/>
    <w:rsid w:val="00D459D8"/>
    <w:rsid w:val="00D55BCE"/>
    <w:rsid w:val="00D56921"/>
    <w:rsid w:val="00D56C3B"/>
    <w:rsid w:val="00D57EB7"/>
    <w:rsid w:val="00D63899"/>
    <w:rsid w:val="00D64578"/>
    <w:rsid w:val="00D66775"/>
    <w:rsid w:val="00D71FC1"/>
    <w:rsid w:val="00D725D0"/>
    <w:rsid w:val="00D75AB9"/>
    <w:rsid w:val="00D8218D"/>
    <w:rsid w:val="00D856DF"/>
    <w:rsid w:val="00D90150"/>
    <w:rsid w:val="00D913E1"/>
    <w:rsid w:val="00DA103D"/>
    <w:rsid w:val="00DA1950"/>
    <w:rsid w:val="00DA28F2"/>
    <w:rsid w:val="00DB2666"/>
    <w:rsid w:val="00DB67B1"/>
    <w:rsid w:val="00DC3C1A"/>
    <w:rsid w:val="00DD0835"/>
    <w:rsid w:val="00DD22CA"/>
    <w:rsid w:val="00DD299C"/>
    <w:rsid w:val="00DE0D72"/>
    <w:rsid w:val="00DE6CA8"/>
    <w:rsid w:val="00DE7817"/>
    <w:rsid w:val="00DF28F0"/>
    <w:rsid w:val="00DF7226"/>
    <w:rsid w:val="00E038D6"/>
    <w:rsid w:val="00E069B6"/>
    <w:rsid w:val="00E072D3"/>
    <w:rsid w:val="00E1572E"/>
    <w:rsid w:val="00E16D80"/>
    <w:rsid w:val="00E16E31"/>
    <w:rsid w:val="00E17E49"/>
    <w:rsid w:val="00E20820"/>
    <w:rsid w:val="00E2147A"/>
    <w:rsid w:val="00E22127"/>
    <w:rsid w:val="00E22A49"/>
    <w:rsid w:val="00E2634A"/>
    <w:rsid w:val="00E33040"/>
    <w:rsid w:val="00E34976"/>
    <w:rsid w:val="00E34A7C"/>
    <w:rsid w:val="00E3744A"/>
    <w:rsid w:val="00E51880"/>
    <w:rsid w:val="00E54998"/>
    <w:rsid w:val="00E56787"/>
    <w:rsid w:val="00E6189E"/>
    <w:rsid w:val="00E71AA9"/>
    <w:rsid w:val="00E73135"/>
    <w:rsid w:val="00E75778"/>
    <w:rsid w:val="00E8033E"/>
    <w:rsid w:val="00E81994"/>
    <w:rsid w:val="00E850D7"/>
    <w:rsid w:val="00E9073C"/>
    <w:rsid w:val="00E92018"/>
    <w:rsid w:val="00EA4C75"/>
    <w:rsid w:val="00EB52E0"/>
    <w:rsid w:val="00ED2F8A"/>
    <w:rsid w:val="00ED7B61"/>
    <w:rsid w:val="00EE2329"/>
    <w:rsid w:val="00EE6021"/>
    <w:rsid w:val="00EF36CE"/>
    <w:rsid w:val="00EF6414"/>
    <w:rsid w:val="00F00673"/>
    <w:rsid w:val="00F0389A"/>
    <w:rsid w:val="00F14223"/>
    <w:rsid w:val="00F16089"/>
    <w:rsid w:val="00F16B54"/>
    <w:rsid w:val="00F2269F"/>
    <w:rsid w:val="00F30656"/>
    <w:rsid w:val="00F31E8D"/>
    <w:rsid w:val="00F334FC"/>
    <w:rsid w:val="00F411DA"/>
    <w:rsid w:val="00F5634D"/>
    <w:rsid w:val="00F62643"/>
    <w:rsid w:val="00F651DA"/>
    <w:rsid w:val="00F73A49"/>
    <w:rsid w:val="00F8073D"/>
    <w:rsid w:val="00F878CC"/>
    <w:rsid w:val="00FC19AE"/>
    <w:rsid w:val="00FC271F"/>
    <w:rsid w:val="00FC53D7"/>
    <w:rsid w:val="00FC6062"/>
    <w:rsid w:val="00FC622E"/>
    <w:rsid w:val="00FC6450"/>
    <w:rsid w:val="00FC6529"/>
    <w:rsid w:val="00FC67F3"/>
    <w:rsid w:val="00FE4D1B"/>
    <w:rsid w:val="00FE72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61D86"/>
  <w15:docId w15:val="{255921A3-08BA-4C27-B826-5AD73AA5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0893"/>
    <w:rPr>
      <w:sz w:val="24"/>
      <w:szCs w:val="24"/>
    </w:rPr>
  </w:style>
  <w:style w:type="paragraph" w:styleId="Heading1">
    <w:name w:val="heading 1"/>
    <w:basedOn w:val="Normal"/>
    <w:next w:val="Normal"/>
    <w:link w:val="Heading1Char"/>
    <w:uiPriority w:val="9"/>
    <w:qFormat/>
    <w:rsid w:val="00626367"/>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B96"/>
    <w:pPr>
      <w:tabs>
        <w:tab w:val="center" w:pos="4320"/>
        <w:tab w:val="right" w:pos="8640"/>
      </w:tabs>
    </w:pPr>
  </w:style>
  <w:style w:type="paragraph" w:styleId="Footer">
    <w:name w:val="footer"/>
    <w:basedOn w:val="Normal"/>
    <w:link w:val="FooterChar"/>
    <w:uiPriority w:val="99"/>
    <w:rsid w:val="00223B96"/>
    <w:pPr>
      <w:tabs>
        <w:tab w:val="center" w:pos="4320"/>
        <w:tab w:val="right" w:pos="8640"/>
      </w:tabs>
    </w:pPr>
  </w:style>
  <w:style w:type="character" w:styleId="PageNumber">
    <w:name w:val="page number"/>
    <w:basedOn w:val="DefaultParagraphFont"/>
    <w:rsid w:val="00223B96"/>
  </w:style>
  <w:style w:type="paragraph" w:customStyle="1" w:styleId="ReturnAddress">
    <w:name w:val="Return Address"/>
    <w:basedOn w:val="Normal"/>
    <w:rsid w:val="00F878CC"/>
  </w:style>
  <w:style w:type="paragraph" w:styleId="Date">
    <w:name w:val="Date"/>
    <w:basedOn w:val="Normal"/>
    <w:next w:val="Normal"/>
    <w:rsid w:val="00F878CC"/>
  </w:style>
  <w:style w:type="paragraph" w:customStyle="1" w:styleId="InsideAddressName">
    <w:name w:val="Inside Address Name"/>
    <w:basedOn w:val="Normal"/>
    <w:rsid w:val="00F878CC"/>
  </w:style>
  <w:style w:type="paragraph" w:customStyle="1" w:styleId="InsideAddress">
    <w:name w:val="Inside Address"/>
    <w:basedOn w:val="Normal"/>
    <w:rsid w:val="00F878CC"/>
  </w:style>
  <w:style w:type="paragraph" w:styleId="Salutation">
    <w:name w:val="Salutation"/>
    <w:basedOn w:val="Normal"/>
    <w:next w:val="Normal"/>
    <w:rsid w:val="00F878CC"/>
  </w:style>
  <w:style w:type="paragraph" w:styleId="BodyText">
    <w:name w:val="Body Text"/>
    <w:basedOn w:val="Normal"/>
    <w:rsid w:val="00F878CC"/>
    <w:pPr>
      <w:spacing w:after="120"/>
    </w:pPr>
  </w:style>
  <w:style w:type="paragraph" w:styleId="Closing">
    <w:name w:val="Closing"/>
    <w:basedOn w:val="Normal"/>
    <w:rsid w:val="00F878CC"/>
  </w:style>
  <w:style w:type="paragraph" w:styleId="Signature">
    <w:name w:val="Signature"/>
    <w:basedOn w:val="Normal"/>
    <w:rsid w:val="00F878CC"/>
  </w:style>
  <w:style w:type="paragraph" w:styleId="BodyText2">
    <w:name w:val="Body Text 2"/>
    <w:basedOn w:val="Normal"/>
    <w:link w:val="BodyText2Char"/>
    <w:rsid w:val="00626367"/>
    <w:pPr>
      <w:spacing w:after="120" w:line="480" w:lineRule="auto"/>
    </w:pPr>
  </w:style>
  <w:style w:type="character" w:customStyle="1" w:styleId="BodyText2Char">
    <w:name w:val="Body Text 2 Char"/>
    <w:link w:val="BodyText2"/>
    <w:rsid w:val="00626367"/>
    <w:rPr>
      <w:sz w:val="24"/>
      <w:szCs w:val="24"/>
    </w:rPr>
  </w:style>
  <w:style w:type="character" w:customStyle="1" w:styleId="Heading1Char">
    <w:name w:val="Heading 1 Char"/>
    <w:link w:val="Heading1"/>
    <w:uiPriority w:val="9"/>
    <w:rsid w:val="00626367"/>
    <w:rPr>
      <w:szCs w:val="24"/>
      <w:u w:val="single"/>
    </w:rPr>
  </w:style>
  <w:style w:type="table" w:styleId="TableGrid">
    <w:name w:val="Table Grid"/>
    <w:basedOn w:val="TableNormal"/>
    <w:rsid w:val="00EF6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71FC1"/>
    <w:rPr>
      <w:color w:val="0000FF"/>
      <w:u w:val="single"/>
    </w:rPr>
  </w:style>
  <w:style w:type="paragraph" w:customStyle="1" w:styleId="ColorfulList-Accent11">
    <w:name w:val="Colorful List - Accent 11"/>
    <w:basedOn w:val="Normal"/>
    <w:uiPriority w:val="34"/>
    <w:qFormat/>
    <w:rsid w:val="009548DC"/>
    <w:pPr>
      <w:ind w:left="720"/>
      <w:contextualSpacing/>
    </w:pPr>
  </w:style>
  <w:style w:type="paragraph" w:styleId="BalloonText">
    <w:name w:val="Balloon Text"/>
    <w:basedOn w:val="Normal"/>
    <w:link w:val="BalloonTextChar"/>
    <w:rsid w:val="007C23A9"/>
    <w:rPr>
      <w:rFonts w:ascii="Tahoma" w:hAnsi="Tahoma"/>
      <w:sz w:val="16"/>
      <w:szCs w:val="16"/>
    </w:rPr>
  </w:style>
  <w:style w:type="character" w:customStyle="1" w:styleId="BalloonTextChar">
    <w:name w:val="Balloon Text Char"/>
    <w:link w:val="BalloonText"/>
    <w:rsid w:val="007C23A9"/>
    <w:rPr>
      <w:rFonts w:ascii="Tahoma" w:hAnsi="Tahoma" w:cs="Tahoma"/>
      <w:sz w:val="16"/>
      <w:szCs w:val="16"/>
    </w:rPr>
  </w:style>
  <w:style w:type="character" w:customStyle="1" w:styleId="HeaderChar">
    <w:name w:val="Header Char"/>
    <w:basedOn w:val="DefaultParagraphFont"/>
    <w:link w:val="Header"/>
    <w:uiPriority w:val="99"/>
    <w:rsid w:val="00B27F0E"/>
    <w:rPr>
      <w:sz w:val="24"/>
      <w:szCs w:val="24"/>
    </w:rPr>
  </w:style>
  <w:style w:type="paragraph" w:styleId="EndnoteText">
    <w:name w:val="endnote text"/>
    <w:basedOn w:val="Normal"/>
    <w:link w:val="EndnoteTextChar"/>
    <w:semiHidden/>
    <w:unhideWhenUsed/>
    <w:rsid w:val="00B71D13"/>
    <w:rPr>
      <w:sz w:val="20"/>
      <w:szCs w:val="20"/>
    </w:rPr>
  </w:style>
  <w:style w:type="character" w:customStyle="1" w:styleId="EndnoteTextChar">
    <w:name w:val="Endnote Text Char"/>
    <w:basedOn w:val="DefaultParagraphFont"/>
    <w:link w:val="EndnoteText"/>
    <w:semiHidden/>
    <w:rsid w:val="00B71D13"/>
  </w:style>
  <w:style w:type="character" w:styleId="EndnoteReference">
    <w:name w:val="endnote reference"/>
    <w:basedOn w:val="DefaultParagraphFont"/>
    <w:semiHidden/>
    <w:unhideWhenUsed/>
    <w:rsid w:val="00B71D13"/>
    <w:rPr>
      <w:vertAlign w:val="superscript"/>
    </w:rPr>
  </w:style>
  <w:style w:type="paragraph" w:styleId="Bibliography">
    <w:name w:val="Bibliography"/>
    <w:basedOn w:val="Normal"/>
    <w:next w:val="Normal"/>
    <w:uiPriority w:val="37"/>
    <w:unhideWhenUsed/>
    <w:rsid w:val="00130686"/>
  </w:style>
  <w:style w:type="character" w:customStyle="1" w:styleId="FooterChar">
    <w:name w:val="Footer Char"/>
    <w:basedOn w:val="DefaultParagraphFont"/>
    <w:link w:val="Footer"/>
    <w:uiPriority w:val="99"/>
    <w:rsid w:val="00C608B6"/>
    <w:rPr>
      <w:sz w:val="24"/>
      <w:szCs w:val="24"/>
    </w:rPr>
  </w:style>
  <w:style w:type="paragraph" w:styleId="ListParagraph">
    <w:name w:val="List Paragraph"/>
    <w:basedOn w:val="Normal"/>
    <w:uiPriority w:val="34"/>
    <w:qFormat/>
    <w:rsid w:val="006E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137317">
      <w:bodyDiv w:val="1"/>
      <w:marLeft w:val="0"/>
      <w:marRight w:val="0"/>
      <w:marTop w:val="0"/>
      <w:marBottom w:val="0"/>
      <w:divBdr>
        <w:top w:val="none" w:sz="0" w:space="0" w:color="auto"/>
        <w:left w:val="none" w:sz="0" w:space="0" w:color="auto"/>
        <w:bottom w:val="none" w:sz="0" w:space="0" w:color="auto"/>
        <w:right w:val="none" w:sz="0" w:space="0" w:color="auto"/>
      </w:divBdr>
    </w:div>
    <w:div w:id="12495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Big11</b:Tag>
    <b:SourceType>Book</b:SourceType>
    <b:Guid>{1C8AA1ED-8F31-415C-9A7B-0CADDF4738B2}</b:Guid>
    <b:LCID>uz-Cyrl-UZ</b:LCID>
    <b:Author>
      <b:Author>
        <b:NameList>
          <b:Person>
            <b:Last>Biggs</b:Last>
            <b:First>John</b:First>
            <b:Middle>B.</b:Middle>
          </b:Person>
          <b:Person>
            <b:Last>Tang</b:Last>
            <b:First>Catherine</b:First>
          </b:Person>
        </b:NameList>
      </b:Author>
    </b:Author>
    <b:Title>Teaching for Quality Learning at University: What the Student Does</b:Title>
    <b:Year>2011</b:Year>
    <b:City>Maidenhead</b:City>
    <b:Publisher>Open University Press</b:Publisher>
    <b:StateProvince>Berkshire</b:StateProvince>
    <b:CountryRegion>England</b:CountryRegion>
    <b:Edition>4th</b:Edition>
    <b:RefOrder>1</b:RefOrder>
  </b:Source>
  <b:Source>
    <b:Tag>Wig05</b:Tag>
    <b:SourceType>Book</b:SourceType>
    <b:Guid>{A4F4FF46-23C3-452C-B3D8-C23C3B000CBB}</b:Guid>
    <b:LCID>uz-Cyrl-UZ</b:LCID>
    <b:Author>
      <b:Author>
        <b:NameList>
          <b:Person>
            <b:Last>Wiggins</b:Last>
            <b:First>Grant</b:First>
          </b:Person>
          <b:Person>
            <b:Last>McTighe</b:Last>
            <b:First>Jay</b:First>
          </b:Person>
        </b:NameList>
      </b:Author>
    </b:Author>
    <b:Title>Understanding by Design</b:Title>
    <b:Year>2005</b:Year>
    <b:City>Alexandria</b:City>
    <b:Publisher>Association for Supervision and Curriculum Development</b:Publisher>
    <b:StateProvince>Virginia</b:StateProvince>
    <b:Edition>2nd</b:Edition>
    <b:RefOrder>2</b:RefOrder>
  </b:Source>
  <b:Source>
    <b:Tag>Was14</b:Tag>
    <b:SourceType>JournalArticle</b:SourceType>
    <b:Guid>{A8AA4BBD-CC33-4876-AC75-7695CE187172}</b:Guid>
    <b:LCID>uz-Cyrl-UZ</b:LCID>
    <b:Author>
      <b:Author>
        <b:NameList>
          <b:Person>
            <b:Last>Wass</b:Last>
            <b:First>Rob</b:First>
          </b:Person>
          <b:Person>
            <b:Last>Golding</b:Last>
            <b:First>Clinton</b:First>
          </b:Person>
        </b:NameList>
      </b:Author>
    </b:Author>
    <b:Title>Sharpening a Tool for Teaching: The Zone of Proximal Development</b:Title>
    <b:Year>2014</b:Year>
    <b:Volume>19</b:Volume>
    <b:Pages>671-684</b:Pages>
    <b:URL>http://dx.doi.org/10.1080/13562517.2014.901958</b:URL>
    <b:JournalName>Teaching in Higher Education</b:JournalName>
    <b:Issue>6</b:Issue>
    <b:RefOrder>6</b:RefOrder>
  </b:Source>
  <b:Source>
    <b:Tag>Row86</b:Tag>
    <b:SourceType>JournalArticle</b:SourceType>
    <b:Guid>{BCDAFEAA-F974-4A42-99BE-215CAA1FB3BD}</b:Guid>
    <b:LCID>uz-Cyrl-UZ</b:LCID>
    <b:Author>
      <b:Author>
        <b:NameList>
          <b:Person>
            <b:Last>Rowe</b:Last>
            <b:First>Mary</b:First>
            <b:Middle>Budd</b:Middle>
          </b:Person>
        </b:NameList>
      </b:Author>
    </b:Author>
    <b:Title>Wait Time: Slowing Down May Be a Way of Speeding Up!</b:Title>
    <b:Year>1986</b:Year>
    <b:JournalName>Journal of Teacher Education</b:JournalName>
    <b:Pages>43-50</b:Pages>
    <b:Volume>37</b:Volume>
    <b:URL>http://jte.sagepub.com/cgi/content/abstract/37/1/43</b:URL>
    <b:DOI>10.1177/002248718603700110</b:DOI>
    <b:RefOrder>20</b:RefOrder>
  </b:Source>
  <b:Source>
    <b:Tag>Han07</b:Tag>
    <b:SourceType>BookSection</b:SourceType>
    <b:Guid>{287448CA-22F2-48E6-AC6E-ABD6CD5C36D5}</b:Guid>
    <b:LCID>uz-Cyrl-UZ</b:LCID>
    <b:Author>
      <b:Author>
        <b:NameList>
          <b:Person>
            <b:Last>Handelsman</b:Last>
            <b:First>Jo</b:First>
          </b:Person>
          <b:Person>
            <b:Last>Miller</b:Last>
            <b:First>Sarah</b:First>
          </b:Person>
          <b:Person>
            <b:Last>Pfund</b:Last>
            <b:First>Christine</b:First>
          </b:Person>
        </b:NameList>
      </b:Author>
    </b:Author>
    <b:Title>Chapter 4: Diversity</b:Title>
    <b:Year>2007</b:Year>
    <b:City>New York</b:City>
    <b:Publisher>W. H. Freeman</b:Publisher>
    <b:BookTitle>Scientific Teaching</b:BookTitle>
    <b:ChapterNumber>4</b:ChapterNumber>
    <b:RefOrder>18</b:RefOrder>
  </b:Source>
  <b:Source>
    <b:Tag>Amb102</b:Tag>
    <b:SourceType>BookSection</b:SourceType>
    <b:Guid>{0AFCF46A-5F25-431D-B470-AB87517ED178}</b:Guid>
    <b:LCID>uz-Cyrl-UZ</b:LCID>
    <b:Author>
      <b:Author>
        <b:NameList>
          <b:Person>
            <b:Last>Ambrose</b:Last>
            <b:First>Susan</b:First>
            <b:Middle>A.</b:Middle>
          </b:Person>
          <b:Person>
            <b:Last>Bridges</b:Last>
            <b:First>Michael</b:First>
            <b:Middle>W.</b:Middle>
          </b:Person>
          <b:Person>
            <b:Last>DiPietro</b:Last>
            <b:First>Michele</b:First>
          </b:Person>
          <b:Person>
            <b:Last>Lovett</b:Last>
            <b:First>Marsha</b:First>
            <b:Middle>C.</b:Middle>
          </b:Person>
          <b:Person>
            <b:Last>Norman</b:Last>
            <b:First>Marie</b:First>
            <b:Middle>K.</b:Middle>
          </b:Person>
        </b:NameList>
      </b:Author>
    </b:Author>
    <b:Title>Chapter 3: What Factors Motivate Students to Learn?</b:Title>
    <b:BookTitle>How Learning Works: Seven Research-Based Principles for Smart Teaching</b:BookTitle>
    <b:Year>2010</b:Year>
    <b:City>Hoboken</b:City>
    <b:Publisher>Jossey-Bass</b:Publisher>
    <b:StateProvince>New Jersey</b:StateProvince>
    <b:RefOrder>5</b:RefOrder>
  </b:Source>
  <b:Source>
    <b:Tag>Amb10</b:Tag>
    <b:SourceType>BookSection</b:SourceType>
    <b:Guid>{57DE1268-10F1-4151-BA14-A0F5D4DB2659}</b:Guid>
    <b:LCID>uz-Cyrl-UZ</b:LCID>
    <b:Author>
      <b:Author>
        <b:NameList>
          <b:Person>
            <b:Last>Ambrose</b:Last>
            <b:First>Susan</b:First>
            <b:Middle>A.</b:Middle>
          </b:Person>
          <b:Person>
            <b:Last>Bridges</b:Last>
            <b:First>Michael</b:First>
            <b:Middle>W.</b:Middle>
          </b:Person>
          <b:Person>
            <b:Last>DiPietro</b:Last>
            <b:First>Michele</b:First>
          </b:Person>
          <b:Person>
            <b:Last>Lovett</b:Last>
            <b:First>Marsha</b:First>
            <b:Middle>C.</b:Middle>
          </b:Person>
          <b:Person>
            <b:Last>Norman</b:Last>
            <b:First>Marie</b:First>
            <b:Middle>K.</b:Middle>
          </b:Person>
        </b:NameList>
      </b:Author>
    </b:Author>
    <b:Title>Chapter 1: How Does Students' Prior Knowledge Affect Their Learning?</b:Title>
    <b:Year>2010</b:Year>
    <b:City>Hoboken</b:City>
    <b:Publisher>Jossey-Bass</b:Publisher>
    <b:StateProvince>New Jersey</b:StateProvince>
    <b:BookTitle>How Learning Works: Seven Research-Based Principles for Smart Teaching</b:BookTitle>
    <b:RefOrder>7</b:RefOrder>
  </b:Source>
  <b:Source>
    <b:Tag>Amb103</b:Tag>
    <b:SourceType>BookSection</b:SourceType>
    <b:Guid>{EF36A668-E363-464A-A9BA-69007E96BFF2}</b:Guid>
    <b:LCID>uz-Cyrl-UZ</b:LCID>
    <b:Author>
      <b:Author>
        <b:NameList>
          <b:Person>
            <b:Last>Ambrose</b:Last>
            <b:First>Susan</b:First>
            <b:Middle>A.</b:Middle>
          </b:Person>
          <b:Person>
            <b:Last>Bridges</b:Last>
            <b:First>Michael</b:First>
            <b:Middle>W.</b:Middle>
          </b:Person>
          <b:Person>
            <b:Last>Di Pietro</b:Last>
            <b:First>Michele</b:First>
          </b:Person>
          <b:Person>
            <b:Last>Lovett</b:Last>
            <b:First>Marsha</b:First>
            <b:Middle>C.</b:Middle>
          </b:Person>
          <b:Person>
            <b:Last>Norman</b:Last>
            <b:First>Marie</b:First>
            <b:Middle>K.</b:Middle>
          </b:Person>
        </b:NameList>
      </b:Author>
    </b:Author>
    <b:Title>Chapter 4: How Do Students Develop Mastery?</b:Title>
    <b:BookTitle>How Learning Works: Seven Research-Based Principles for Smart Teaching</b:BookTitle>
    <b:Year>2010</b:Year>
    <b:City>Hoboken</b:City>
    <b:Publisher>Jossey-Bass</b:Publisher>
    <b:StateProvince>New Jersey</b:StateProvince>
    <b:RefOrder>8</b:RefOrder>
  </b:Source>
  <b:Source>
    <b:Tag>Amb106</b:Tag>
    <b:SourceType>BookSection</b:SourceType>
    <b:Guid>{10ADA870-A32D-4E4E-B5CD-14CE8AA1E2DD}</b:Guid>
    <b:LCID>uz-Cyrl-UZ</b:LCID>
    <b:Author>
      <b:Author>
        <b:NameList>
          <b:Person>
            <b:Last>Ambrose</b:Last>
            <b:First>Susan</b:First>
            <b:Middle>A.</b:Middle>
          </b:Person>
          <b:Person>
            <b:Last>Bridges</b:Last>
            <b:First>Michael</b:First>
            <b:Middle>W.</b:Middle>
          </b:Person>
          <b:Person>
            <b:Last>DiPietro</b:Last>
            <b:First>Michele</b:First>
          </b:Person>
          <b:Person>
            <b:Last>Lovett</b:Last>
            <b:First>Marsha</b:First>
            <b:Middle>C.</b:Middle>
          </b:Person>
          <b:Person>
            <b:Last>Norman</b:Last>
            <b:First>Marie</b:First>
            <b:Middle>K.</b:Middle>
          </b:Person>
        </b:NameList>
      </b:Author>
    </b:Author>
    <b:Title>Chapter 7: How Do Students Become Self-Directed Learners?</b:Title>
    <b:BookTitle>How Learning Works: Seven Research-Based Principles for Smart Teaching</b:BookTitle>
    <b:Year>2010</b:Year>
    <b:City>Hoboken</b:City>
    <b:Publisher>Jossey-Bass</b:Publisher>
    <b:StateProvince>New Jersey</b:StateProvince>
    <b:RefOrder>17</b:RefOrder>
  </b:Source>
  <b:Source>
    <b:Tag>Amb105</b:Tag>
    <b:SourceType>BookSection</b:SourceType>
    <b:Guid>{ECCFB655-A6E9-42C6-AEE4-6E213AEF7395}</b:Guid>
    <b:LCID>uz-Cyrl-UZ</b:LCID>
    <b:Author>
      <b:Author>
        <b:NameList>
          <b:Person>
            <b:Last>Ambrose</b:Last>
            <b:First>Susan</b:First>
            <b:Middle>A.</b:Middle>
          </b:Person>
          <b:Person>
            <b:Last>Bridges</b:Last>
            <b:First>Michael</b:First>
            <b:Middle>W.</b:Middle>
          </b:Person>
          <b:Person>
            <b:Last>DiPietro</b:Last>
            <b:First>Michele</b:First>
          </b:Person>
          <b:Person>
            <b:Last>Lovett</b:Last>
            <b:First>Marsha</b:First>
            <b:Middle>C.</b:Middle>
          </b:Person>
          <b:Person>
            <b:Last>Norman</b:Last>
            <b:First>Marie</b:First>
            <b:Middle>K.</b:Middle>
          </b:Person>
        </b:NameList>
      </b:Author>
    </b:Author>
    <b:Title>Chapter 6: Why Do Student Development and Course Climate Matter for Student Learning?</b:Title>
    <b:BookTitle>How Learning Works: Seven Research-Based Principles for Smart Teaching</b:BookTitle>
    <b:Year>2010</b:Year>
    <b:City>Hoboken</b:City>
    <b:Publisher>Jossey-Bass</b:Publisher>
    <b:StateProvince>New Jersey</b:StateProvince>
    <b:RefOrder>19</b:RefOrder>
  </b:Source>
  <b:Source>
    <b:Tag>Han071</b:Tag>
    <b:SourceType>BookSection</b:SourceType>
    <b:Guid>{8E186182-F5A4-4590-BF44-2FB0A5D400D6}</b:Guid>
    <b:LCID>uz-Cyrl-UZ</b:LCID>
    <b:Author>
      <b:Author>
        <b:NameList>
          <b:Person>
            <b:Last>Handelsman</b:Last>
            <b:First>Jo</b:First>
          </b:Person>
          <b:Person>
            <b:Last>Miller</b:Last>
            <b:First>Sarah</b:First>
          </b:Person>
          <b:Person>
            <b:Last>Pfund</b:Last>
            <b:First>Christine</b:First>
          </b:Person>
        </b:NameList>
      </b:Author>
    </b:Author>
    <b:Title>Chapter 2: Active Learning</b:Title>
    <b:Year>2007</b:Year>
    <b:Publisher>W. H. Freeman </b:Publisher>
    <b:City>New York</b:City>
    <b:BookTitle>Scientific Teaching</b:BookTitle>
    <b:RefOrder>13</b:RefOrder>
  </b:Source>
  <b:Source>
    <b:Tag>Des11</b:Tag>
    <b:SourceType>JournalArticle</b:SourceType>
    <b:Guid>{89381ECA-DF33-4839-B114-0E86F7CB5BA7}</b:Guid>
    <b:LCID>uz-Cyrl-UZ</b:LCID>
    <b:Author>
      <b:Author>
        <b:NameList>
          <b:Person>
            <b:Last>Deslauriers</b:Last>
            <b:First>Louis</b:First>
          </b:Person>
          <b:Person>
            <b:Last>Schelew</b:Last>
            <b:First>Ellen</b:First>
          </b:Person>
          <b:Person>
            <b:Last>Wieman</b:Last>
            <b:First>Carl</b:First>
          </b:Person>
        </b:NameList>
      </b:Author>
    </b:Author>
    <b:Title>Improved Learning in a Large-Enrollment Physics Class</b:Title>
    <b:Year>2011</b:Year>
    <b:Pages>862-864</b:Pages>
    <b:JournalName>Science</b:JournalName>
    <b:Volume>332</b:Volume>
    <b:DOI>10.1126/science.1201783</b:DOI>
    <b:RefOrder>12</b:RefOrder>
  </b:Source>
  <b:Source>
    <b:Tag>Bro141</b:Tag>
    <b:SourceType>Book</b:SourceType>
    <b:Guid>{21F88BF1-B55B-495E-9109-A86105CA3D84}</b:Guid>
    <b:LCID>uz-Cyrl-UZ</b:LCID>
    <b:Author>
      <b:Author>
        <b:NameList>
          <b:Person>
            <b:Last>Brown</b:Last>
            <b:First>Peter</b:First>
            <b:Middle>C.</b:Middle>
          </b:Person>
          <b:Person>
            <b:Last>Roediger</b:Last>
            <b:First>Henry</b:First>
            <b:Middle>L.</b:Middle>
          </b:Person>
          <b:Person>
            <b:Last>McDaniel</b:Last>
            <b:First>Mark</b:First>
            <b:Middle>A.</b:Middle>
          </b:Person>
        </b:NameList>
      </b:Author>
    </b:Author>
    <b:Title>Make it Stick: The Science of Successful Learning</b:Title>
    <b:Year>2014</b:Year>
    <b:City>Cambridge</b:City>
    <b:Publisher>Belknap Press</b:Publisher>
    <b:StateProvince>Massachusetts</b:StateProvince>
    <b:RefOrder>15</b:RefOrder>
  </b:Source>
  <b:Source>
    <b:Tag>Amb104</b:Tag>
    <b:SourceType>BookSection</b:SourceType>
    <b:Guid>{3C2C654F-394E-46B4-A397-94FC30A5C1CE}</b:Guid>
    <b:LCID>uz-Cyrl-UZ</b:LCID>
    <b:Author>
      <b:Author>
        <b:NameList>
          <b:Person>
            <b:Last>Ambrose</b:Last>
            <b:First>Susan</b:First>
            <b:Middle>A.</b:Middle>
          </b:Person>
          <b:Person>
            <b:Last>Bridges</b:Last>
            <b:First>Michael</b:First>
            <b:Middle>W.</b:Middle>
          </b:Person>
          <b:Person>
            <b:Last>DiPietro</b:Last>
            <b:First>Michele</b:First>
          </b:Person>
          <b:Person>
            <b:Last>Lovett</b:Last>
            <b:First>Marsha</b:First>
            <b:Middle>C.</b:Middle>
          </b:Person>
          <b:Person>
            <b:Last>Norman</b:Last>
            <b:First>Marie</b:First>
            <b:Middle>K.</b:Middle>
          </b:Person>
        </b:NameList>
      </b:Author>
    </b:Author>
    <b:Title>Chapter 5: What Kinds of Practice and Feedback Enhance Learning?</b:Title>
    <b:BookTitle>How Learning Works: Seven Research-Based Principles for Smart Teaching</b:BookTitle>
    <b:Year>2010</b:Year>
    <b:City>Hoboken</b:City>
    <b:Publisher>Jossey-Bass</b:Publisher>
    <b:StateProvince>New Jersey</b:StateProvince>
    <b:RefOrder>4</b:RefOrder>
  </b:Source>
  <b:Source>
    <b:Tag>Amb101</b:Tag>
    <b:SourceType>BookSection</b:SourceType>
    <b:Guid>{0C98A8CD-8044-41E9-9C84-9C6075FD0DEB}</b:Guid>
    <b:LCID>uz-Cyrl-UZ</b:LCID>
    <b:Author>
      <b:Author>
        <b:NameList>
          <b:Person>
            <b:Last>Ambrose</b:Last>
            <b:First>Susan</b:First>
            <b:Middle>A.</b:Middle>
          </b:Person>
          <b:Person>
            <b:Last>Bridges</b:Last>
            <b:First>Michael</b:First>
            <b:Middle>W.</b:Middle>
          </b:Person>
          <b:Person>
            <b:Last>DiPietro</b:Last>
            <b:First>Michele</b:First>
          </b:Person>
          <b:Person>
            <b:Last>Lovett</b:Last>
            <b:First>Marsha</b:First>
            <b:Middle>C.</b:Middle>
          </b:Person>
          <b:Person>
            <b:Last>Norman</b:Last>
            <b:First>Marie</b:First>
            <b:Middle>K.</b:Middle>
          </b:Person>
        </b:NameList>
      </b:Author>
    </b:Author>
    <b:Title>Chapter 2: How Does the Way Students Organize Knowledge Affect Their Learning?</b:Title>
    <b:BookTitle>How Learning Works: Seven Research-Based Principles for Smart Teaching</b:BookTitle>
    <b:Year>2010</b:Year>
    <b:City>Hoboken</b:City>
    <b:Publisher>Jossey-Bass</b:Publisher>
    <b:StateProvince>New Jersey</b:StateProvince>
    <b:ChapterNumber>2</b:ChapterNumber>
    <b:RefOrder>3</b:RefOrder>
  </b:Source>
  <b:Source>
    <b:Tag>Chr90</b:Tag>
    <b:SourceType>JournalArticle</b:SourceType>
    <b:Guid>{F5369503-D6E1-479A-B9EB-504CB8CF691C}</b:Guid>
    <b:LCID>uz-Cyrl-UZ</b:LCID>
    <b:Author>
      <b:Author>
        <b:NameList>
          <b:Person>
            <b:Last>Christophel</b:Last>
            <b:First>Diane</b:First>
            <b:Middle>M.</b:Middle>
          </b:Person>
        </b:NameList>
      </b:Author>
    </b:Author>
    <b:Title>The Relationships Among Teacher Immediacy Behaviors, Student Motivation, and Learning</b:Title>
    <b:Year>1990</b:Year>
    <b:JournalName>Communication Education</b:JournalName>
    <b:Pages>323-340</b:Pages>
    <b:Volume>39</b:Volume>
    <b:Issue>4</b:Issue>
    <b:DOI>10.1080/03634529009378813</b:DOI>
    <b:RefOrder>23</b:RefOrder>
  </b:Source>
  <b:Source>
    <b:Tag>Fri08</b:Tag>
    <b:SourceType>JournalArticle</b:SourceType>
    <b:Guid>{AE68573D-4699-4C02-BD6C-9855747E9576}</b:Guid>
    <b:LCID>uz-Cyrl-UZ</b:LCID>
    <b:Author>
      <b:Author>
        <b:NameList>
          <b:Person>
            <b:Last>Fried</b:Last>
            <b:First>Carrie</b:First>
            <b:Middle>B.</b:Middle>
          </b:Person>
        </b:NameList>
      </b:Author>
    </b:Author>
    <b:Title>In-Class Laptop Use and Its Effects on Student Learning</b:Title>
    <b:JournalName>Computers &amp; Education</b:JournalName>
    <b:Year>2008</b:Year>
    <b:Pages>906-914</b:Pages>
    <b:Volume>50</b:Volume>
    <b:Issue>4</b:Issue>
    <b:DOI>doi:10.1016/j.compedu.2006.09.006</b:DOI>
    <b:RefOrder>25</b:RefOrder>
  </b:Source>
  <b:Source>
    <b:Tag>Tit04</b:Tag>
    <b:SourceType>JournalArticle</b:SourceType>
    <b:Guid>{2DA92FB6-6627-45CB-8199-5D1B9944596D}</b:Guid>
    <b:LCID>uz-Cyrl-UZ</b:LCID>
    <b:Author>
      <b:Author>
        <b:NameList>
          <b:Person>
            <b:Last>Titsworth</b:Last>
            <b:First>B.</b:First>
            <b:Middle>Scott</b:Middle>
          </b:Person>
          <b:Person>
            <b:Last>Kiewra</b:Last>
            <b:First>Kenneth</b:First>
            <b:Middle>A.</b:Middle>
          </b:Person>
        </b:NameList>
      </b:Author>
    </b:Author>
    <b:Title>Spoken Organizational Lecture Cues and Student Notetaking as Facilitators of Student Learning</b:Title>
    <b:JournalName>Contemporary Educational Psychology</b:JournalName>
    <b:Year>2004</b:Year>
    <b:Pages>447-461</b:Pages>
    <b:Volume>29</b:Volume>
    <b:Issue>4</b:Issue>
    <b:DOI>10.1016/j.cedpsych.2003.12.001</b:DOI>
    <b:RefOrder>26</b:RefOrder>
  </b:Source>
  <b:Source>
    <b:Tag>Kuz13</b:Tag>
    <b:SourceType>JournalArticle</b:SourceType>
    <b:Guid>{09EB582E-DF49-4634-A70C-73F5ED9C754E}</b:Guid>
    <b:LCID>uz-Cyrl-UZ</b:LCID>
    <b:Author>
      <b:Author>
        <b:NameList>
          <b:Person>
            <b:Last>Kuznekoff</b:Last>
            <b:First>Jeffrey</b:First>
            <b:Middle>H.</b:Middle>
          </b:Person>
          <b:Person>
            <b:Last>Titsworth</b:Last>
            <b:First>B.</b:First>
            <b:Middle>Scott</b:Middle>
          </b:Person>
        </b:NameList>
      </b:Author>
    </b:Author>
    <b:Title>The Impact of Mobile Phone Usage on Student Learning</b:Title>
    <b:JournalName>Communication Education</b:JournalName>
    <b:Year>2013</b:Year>
    <b:Pages>233-252</b:Pages>
    <b:Volume>62</b:Volume>
    <b:Issue>3</b:Issue>
    <b:DOI>10.1080/03634523.2013.767917</b:DOI>
    <b:RefOrder>24</b:RefOrder>
  </b:Source>
  <b:Source>
    <b:Tag>Abr98</b:Tag>
    <b:SourceType>JournalArticle</b:SourceType>
    <b:Guid>{F26920C3-6C40-4FF6-ACBB-6F26CDC42BA3}</b:Guid>
    <b:LCID>uz-Cyrl-UZ</b:LCID>
    <b:Author>
      <b:Author>
        <b:NameList>
          <b:Person>
            <b:Last>Abrahamson</b:Last>
            <b:First>Craig</b:First>
            <b:Middle>Eilert</b:Middle>
          </b:Person>
        </b:NameList>
      </b:Author>
    </b:Author>
    <b:Title>Storytelling as a Pedagogical Tool in Higher Education</b:Title>
    <b:Year>1998</b:Year>
    <b:JournalName>Education</b:JournalName>
    <b:Pages>440-451</b:Pages>
    <b:Volume>118</b:Volume>
    <b:Issue>3</b:Issue>
    <b:RefOrder>9</b:RefOrder>
  </b:Source>
  <b:Source>
    <b:Tag>Nil10</b:Tag>
    <b:SourceType>Book</b:SourceType>
    <b:Guid>{CEB7C381-36B5-4028-A07E-86A6D3ABAE2C}</b:Guid>
    <b:LCID>uz-Cyrl-UZ</b:LCID>
    <b:Author>
      <b:Author>
        <b:NameList>
          <b:Person>
            <b:Last>Nilson</b:Last>
            <b:First>Linda</b:First>
          </b:Person>
        </b:NameList>
      </b:Author>
    </b:Author>
    <b:Title>Teaching at Its Best: A Research-Based Resource for College Instructors</b:Title>
    <b:Year>2010</b:Year>
    <b:City>San Francisco</b:City>
    <b:Publisher>Jossey-Bass</b:Publisher>
    <b:Edition>3rd</b:Edition>
    <b:RefOrder>11</b:RefOrder>
  </b:Source>
  <b:Source>
    <b:Tag>Dir14</b:Tag>
    <b:SourceType>Book</b:SourceType>
    <b:Guid>{B53A1244-E3E9-47B4-89E5-2AF3F764C0BF}</b:Guid>
    <b:LCID>uz-Cyrl-UZ</b:LCID>
    <b:Author>
      <b:Author>
        <b:NameList>
          <b:Person>
            <b:Last>Dirks</b:Last>
            <b:First>Clarissa</b:First>
          </b:Person>
          <b:Person>
            <b:Last>Wenderoth</b:Last>
            <b:First>Mary</b:First>
            <b:Middle>Pat</b:Middle>
          </b:Person>
          <b:Person>
            <b:Last>Withers</b:Last>
            <b:First>Michelle</b:First>
          </b:Person>
        </b:NameList>
      </b:Author>
    </b:Author>
    <b:Title>Assessment In the College Classroom</b:Title>
    <b:Year>2014</b:Year>
    <b:City>New York</b:City>
    <b:Publisher>W. H. Freeman</b:Publisher>
    <b:RefOrder>16</b:RefOrder>
  </b:Source>
  <b:Source>
    <b:Tag>Edd14</b:Tag>
    <b:SourceType>JournalArticle</b:SourceType>
    <b:Guid>{C63E33B3-D93A-4725-BEC5-8DE763555F9F}</b:Guid>
    <b:LCID>uz-Cyrl-UZ</b:LCID>
    <b:Author>
      <b:Author>
        <b:NameList>
          <b:Person>
            <b:Last>Eddy</b:Last>
            <b:First>Sarah</b:First>
            <b:Middle>L.</b:Middle>
          </b:Person>
          <b:Person>
            <b:Last>Brownell</b:Last>
            <b:First>Sara</b:First>
            <b:Middle>E.</b:Middle>
          </b:Person>
          <b:Person>
            <b:Last>Wenderoth</b:Last>
            <b:First>Mary</b:First>
            <b:Middle>Pat</b:Middle>
          </b:Person>
        </b:NameList>
      </b:Author>
    </b:Author>
    <b:Title>Gender Gaps in Achievement and Participation in Multiple Introductory Biology Classrooms</b:Title>
    <b:Year>2014</b:Year>
    <b:JournalName>CBE-Life Sciences Education</b:JournalName>
    <b:Pages>478-492</b:Pages>
    <b:Volume>13</b:Volume>
    <b:Issue>3</b:Issue>
    <b:DOI>10.1187/cbe.13-10-0204 </b:DOI>
    <b:RefOrder>21</b:RefOrder>
  </b:Source>
  <b:Source>
    <b:Tag>Mos12</b:Tag>
    <b:SourceType>JournalArticle</b:SourceType>
    <b:Guid>{BF2F4F47-C5A6-4B33-89E2-D9B7BA4ED7D9}</b:Guid>
    <b:LCID>uz-Cyrl-UZ</b:LCID>
    <b:Author>
      <b:Author>
        <b:NameList>
          <b:Person>
            <b:Last>Moss-Racusin</b:Last>
            <b:First>Corinne</b:First>
          </b:Person>
          <b:Person>
            <b:Last>Dovidio</b:Last>
            <b:First>John</b:First>
            <b:Middle>F</b:Middle>
          </b:Person>
          <b:Person>
            <b:Last>Brescoll</b:Last>
            <b:First>Victoria</b:First>
            <b:Middle>L.</b:Middle>
          </b:Person>
          <b:Person>
            <b:Last>Graham</b:Last>
            <b:First>Mark</b:First>
            <b:Middle>J.</b:Middle>
          </b:Person>
          <b:Person>
            <b:Last>Handelsman</b:Last>
            <b:First>Jo</b:First>
          </b:Person>
        </b:NameList>
      </b:Author>
    </b:Author>
    <b:Title>Science Faculty's Subtle Gender Biases Favor Male Students</b:Title>
    <b:JournalName>Proceedings of the National Academy of Sciences</b:JournalName>
    <b:Year>2012</b:Year>
    <b:Pages>16474-16479</b:Pages>
    <b:Volume>109</b:Volume>
    <b:Issue>41</b:Issue>
    <b:DOI>10.1073/pnas.1211286109</b:DOI>
    <b:RefOrder>22</b:RefOrder>
  </b:Source>
  <b:Source>
    <b:Tag>Her07</b:Tag>
    <b:SourceType>Book</b:SourceType>
    <b:Guid>{40772C67-7612-4830-B89A-C738679F452C}</b:Guid>
    <b:LCID>uz-Cyrl-UZ</b:LCID>
    <b:Author>
      <b:Editor>
        <b:NameList>
          <b:Person>
            <b:Last>Herreid</b:Last>
            <b:First>Clyde</b:First>
            <b:Middle>Freeman</b:Middle>
          </b:Person>
        </b:NameList>
      </b:Editor>
    </b:Author>
    <b:Title>Start With a Story: The Case Study Method of Teaching College Science</b:Title>
    <b:Year>2007</b:Year>
    <b:City>Arlington</b:City>
    <b:Publisher>NSTA Press</b:Publisher>
    <b:StateProvince>Virginia</b:StateProvince>
    <b:RefOrder>10</b:RefOrder>
  </b:Source>
  <b:Source>
    <b:Tag>Fre15</b:Tag>
    <b:SourceType>JournalArticle</b:SourceType>
    <b:Guid>{5BEACAB2-1CC2-4AB3-878D-F82DE3929072}</b:Guid>
    <b:LCID>uz-Cyrl-UZ</b:LCID>
    <b:Author>
      <b:Author>
        <b:NameList>
          <b:Person>
            <b:Last>Freeman</b:Last>
            <b:First>S.</b:First>
          </b:Person>
          <b:Person>
            <b:Last>Eddy</b:Last>
            <b:First>S.</b:First>
            <b:Middle>L.</b:Middle>
          </b:Person>
          <b:Person>
            <b:Last>McDonough</b:Last>
            <b:First>M.</b:First>
          </b:Person>
          <b:Person>
            <b:Last>Smith</b:Last>
            <b:First>M.</b:First>
            <b:Middle>K.</b:Middle>
          </b:Person>
          <b:Person>
            <b:Last>Okoroafor</b:Last>
            <b:First>N.</b:First>
          </b:Person>
          <b:Person>
            <b:Last>Jordt</b:Last>
            <b:First>H.</b:First>
          </b:Person>
          <b:Person>
            <b:Last>Wenderoth</b:Last>
            <b:First>M.</b:First>
            <b:Middle>P.</b:Middle>
          </b:Person>
        </b:NameList>
      </b:Author>
    </b:Author>
    <b:Title>Active learning increases student performance in science, engineering, and mathematics</b:Title>
    <b:Year>2015</b:Year>
    <b:JournalName>Proceedings of the National Academy of Sciences</b:JournalName>
    <b:Pages>8410–8415</b:Pages>
    <b:Volume>111</b:Volume>
    <b:Issue>23</b:Issue>
    <b:RefOrder>14</b:RefOrder>
  </b:Source>
</b:Sources>
</file>

<file path=customXml/itemProps1.xml><?xml version="1.0" encoding="utf-8"?>
<ds:datastoreItem xmlns:ds="http://schemas.openxmlformats.org/officeDocument/2006/customXml" ds:itemID="{0B2ED4FF-589F-45A3-A84E-6DD4BC78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Mueller</dc:creator>
  <cp:lastModifiedBy>Grant Jacobsen</cp:lastModifiedBy>
  <cp:revision>3</cp:revision>
  <cp:lastPrinted>2020-02-07T19:15:00Z</cp:lastPrinted>
  <dcterms:created xsi:type="dcterms:W3CDTF">2020-03-07T01:38:00Z</dcterms:created>
  <dcterms:modified xsi:type="dcterms:W3CDTF">2020-03-07T01:39:00Z</dcterms:modified>
</cp:coreProperties>
</file>